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b/>
          <w:sz w:val="32"/>
          <w:szCs w:val="32"/>
        </w:rPr>
      </w:pPr>
    </w:p>
    <w:p>
      <w:pPr>
        <w:jc w:val="center"/>
        <w:rPr>
          <w:rFonts w:ascii="宋体"/>
          <w:b/>
          <w:sz w:val="32"/>
          <w:szCs w:val="32"/>
        </w:rPr>
      </w:pPr>
    </w:p>
    <w:p>
      <w:pPr>
        <w:jc w:val="center"/>
        <w:rPr>
          <w:rFonts w:ascii="宋体"/>
          <w:b/>
          <w:sz w:val="32"/>
          <w:szCs w:val="32"/>
        </w:rPr>
      </w:pPr>
    </w:p>
    <w:p>
      <w:pPr>
        <w:spacing w:line="360" w:lineRule="auto"/>
        <w:jc w:val="center"/>
        <w:rPr>
          <w:rFonts w:ascii="黑体" w:eastAsia="黑体" w:hAnsiTheme="minorHAnsi" w:cstheme="minorBidi"/>
          <w:b/>
          <w:kern w:val="22"/>
          <w:sz w:val="44"/>
          <w:szCs w:val="44"/>
        </w:rPr>
      </w:pPr>
      <w:r>
        <w:rPr>
          <w:rFonts w:hint="eastAsia" w:ascii="黑体" w:eastAsia="黑体" w:hAnsiTheme="minorHAnsi" w:cstheme="minorBidi"/>
          <w:b/>
          <w:kern w:val="22"/>
          <w:sz w:val="44"/>
          <w:szCs w:val="44"/>
        </w:rPr>
        <w:t>山西省地方标准</w:t>
      </w:r>
    </w:p>
    <w:p>
      <w:pPr>
        <w:spacing w:line="360" w:lineRule="auto"/>
        <w:jc w:val="center"/>
        <w:rPr>
          <w:rFonts w:ascii="黑体" w:eastAsia="黑体" w:hAnsiTheme="minorHAnsi" w:cstheme="minorBidi"/>
          <w:b/>
          <w:kern w:val="22"/>
          <w:sz w:val="44"/>
          <w:szCs w:val="44"/>
        </w:rPr>
      </w:pPr>
      <w:r>
        <w:rPr>
          <w:rFonts w:hint="eastAsia" w:ascii="黑体" w:eastAsia="黑体" w:hAnsiTheme="minorHAnsi" w:cstheme="minorBidi"/>
          <w:b/>
          <w:kern w:val="22"/>
          <w:sz w:val="44"/>
          <w:szCs w:val="44"/>
        </w:rPr>
        <w:t>《</w:t>
      </w:r>
      <w:r>
        <w:rPr>
          <w:rFonts w:hint="eastAsia" w:ascii="黑体" w:eastAsia="黑体" w:hAnsiTheme="minorHAnsi" w:cstheme="minorBidi"/>
          <w:b/>
          <w:kern w:val="22"/>
          <w:sz w:val="44"/>
          <w:szCs w:val="44"/>
          <w:lang w:val="en-US" w:eastAsia="zh-CN"/>
        </w:rPr>
        <w:t>西瓜集约化育苗生产技术规程</w:t>
      </w:r>
      <w:r>
        <w:rPr>
          <w:rFonts w:hint="eastAsia" w:ascii="黑体" w:eastAsia="黑体" w:hAnsiTheme="minorHAnsi" w:cstheme="minorBidi"/>
          <w:b/>
          <w:kern w:val="22"/>
          <w:sz w:val="44"/>
          <w:szCs w:val="44"/>
        </w:rPr>
        <w:t>》</w:t>
      </w:r>
    </w:p>
    <w:p>
      <w:pPr>
        <w:spacing w:line="360" w:lineRule="auto"/>
        <w:jc w:val="center"/>
        <w:rPr>
          <w:rFonts w:ascii="黑体" w:eastAsia="黑体" w:hAnsiTheme="minorHAnsi" w:cstheme="minorBidi"/>
          <w:b/>
          <w:kern w:val="22"/>
          <w:sz w:val="44"/>
          <w:szCs w:val="44"/>
        </w:rPr>
      </w:pPr>
      <w:r>
        <w:rPr>
          <w:rFonts w:hint="eastAsia" w:ascii="黑体" w:eastAsia="黑体" w:hAnsiTheme="minorHAnsi" w:cstheme="minorBidi"/>
          <w:b/>
          <w:kern w:val="22"/>
          <w:sz w:val="44"/>
          <w:szCs w:val="44"/>
        </w:rPr>
        <w:t>编制说明</w:t>
      </w:r>
    </w:p>
    <w:p>
      <w:pPr>
        <w:ind w:firstLine="642" w:firstLineChars="200"/>
        <w:rPr>
          <w:rFonts w:ascii="仿宋" w:hAnsi="仿宋" w:eastAsia="仿宋"/>
          <w:b/>
          <w:sz w:val="32"/>
          <w:szCs w:val="32"/>
        </w:rPr>
      </w:pPr>
    </w:p>
    <w:p>
      <w:pPr>
        <w:ind w:firstLine="642" w:firstLineChars="200"/>
        <w:rPr>
          <w:rFonts w:ascii="仿宋" w:hAnsi="仿宋" w:eastAsia="仿宋"/>
          <w:b/>
          <w:sz w:val="32"/>
          <w:szCs w:val="32"/>
        </w:rPr>
      </w:pPr>
    </w:p>
    <w:p>
      <w:pPr>
        <w:ind w:firstLine="642" w:firstLineChars="200"/>
        <w:rPr>
          <w:rFonts w:ascii="仿宋" w:hAnsi="仿宋" w:eastAsia="仿宋"/>
          <w:b/>
          <w:sz w:val="32"/>
          <w:szCs w:val="32"/>
        </w:rPr>
      </w:pPr>
    </w:p>
    <w:p>
      <w:pPr>
        <w:ind w:firstLine="642" w:firstLineChars="200"/>
        <w:rPr>
          <w:rFonts w:ascii="仿宋" w:hAnsi="仿宋" w:eastAsia="仿宋"/>
          <w:b/>
          <w:sz w:val="32"/>
          <w:szCs w:val="32"/>
        </w:rPr>
      </w:pPr>
    </w:p>
    <w:p>
      <w:pPr>
        <w:ind w:firstLine="642" w:firstLineChars="200"/>
        <w:rPr>
          <w:rFonts w:ascii="仿宋" w:hAnsi="仿宋" w:eastAsia="仿宋"/>
          <w:b/>
          <w:sz w:val="32"/>
          <w:szCs w:val="32"/>
        </w:rPr>
      </w:pPr>
    </w:p>
    <w:p>
      <w:pPr>
        <w:ind w:firstLine="642" w:firstLineChars="200"/>
        <w:rPr>
          <w:rFonts w:ascii="仿宋" w:hAnsi="仿宋" w:eastAsia="仿宋"/>
          <w:b/>
          <w:sz w:val="32"/>
          <w:szCs w:val="32"/>
        </w:rPr>
      </w:pPr>
    </w:p>
    <w:p>
      <w:pPr>
        <w:ind w:firstLine="642" w:firstLineChars="200"/>
        <w:rPr>
          <w:rFonts w:ascii="仿宋" w:hAnsi="仿宋" w:eastAsia="仿宋"/>
          <w:b/>
          <w:sz w:val="32"/>
          <w:szCs w:val="32"/>
        </w:rPr>
      </w:pPr>
    </w:p>
    <w:p>
      <w:pPr>
        <w:ind w:firstLine="642" w:firstLineChars="200"/>
        <w:jc w:val="center"/>
        <w:rPr>
          <w:rFonts w:ascii="仿宋" w:hAnsi="仿宋" w:eastAsia="仿宋"/>
          <w:b/>
          <w:sz w:val="32"/>
          <w:szCs w:val="32"/>
        </w:rPr>
      </w:pPr>
    </w:p>
    <w:p>
      <w:pPr>
        <w:ind w:firstLine="642" w:firstLineChars="200"/>
        <w:jc w:val="center"/>
        <w:rPr>
          <w:rFonts w:ascii="宋体"/>
          <w:b/>
          <w:sz w:val="32"/>
          <w:szCs w:val="32"/>
        </w:rPr>
      </w:pPr>
    </w:p>
    <w:p>
      <w:pPr>
        <w:ind w:firstLine="642" w:firstLineChars="200"/>
        <w:jc w:val="center"/>
        <w:rPr>
          <w:rFonts w:ascii="宋体"/>
          <w:b/>
          <w:sz w:val="32"/>
          <w:szCs w:val="32"/>
        </w:rPr>
      </w:pPr>
    </w:p>
    <w:p>
      <w:pPr>
        <w:ind w:firstLine="642" w:firstLineChars="200"/>
        <w:jc w:val="center"/>
        <w:rPr>
          <w:rFonts w:ascii="宋体"/>
          <w:b/>
          <w:sz w:val="32"/>
          <w:szCs w:val="32"/>
        </w:rPr>
      </w:pPr>
    </w:p>
    <w:p>
      <w:pPr>
        <w:spacing w:line="360" w:lineRule="auto"/>
        <w:jc w:val="center"/>
        <w:rPr>
          <w:rFonts w:hint="default" w:ascii="宋体" w:hAnsi="宋体" w:eastAsia="宋体"/>
          <w:b/>
          <w:kern w:val="22"/>
          <w:sz w:val="10"/>
          <w:szCs w:val="10"/>
          <w:lang w:val="en-US" w:eastAsia="zh-CN"/>
        </w:rPr>
      </w:pPr>
      <w:r>
        <w:rPr>
          <w:rFonts w:hint="eastAsia" w:ascii="宋体" w:hAnsi="宋体"/>
          <w:b/>
          <w:kern w:val="22"/>
          <w:sz w:val="32"/>
          <w:szCs w:val="32"/>
        </w:rPr>
        <w:t>编制单位：</w:t>
      </w:r>
      <w:r>
        <w:rPr>
          <w:rFonts w:hint="eastAsia" w:ascii="宋体" w:hAnsi="宋体"/>
          <w:b/>
          <w:kern w:val="22"/>
          <w:sz w:val="32"/>
          <w:szCs w:val="32"/>
          <w:lang w:val="en-US" w:eastAsia="zh-CN"/>
        </w:rPr>
        <w:t>山西省园艺产业发展中心</w:t>
      </w:r>
    </w:p>
    <w:p>
      <w:pPr>
        <w:jc w:val="center"/>
        <w:rPr>
          <w:rFonts w:ascii="宋体" w:hAnsi="宋体"/>
          <w:b/>
          <w:sz w:val="32"/>
          <w:szCs w:val="32"/>
        </w:rPr>
      </w:pPr>
      <w:r>
        <w:rPr>
          <w:rFonts w:hint="eastAsia" w:ascii="宋体" w:hAnsi="宋体"/>
          <w:b/>
          <w:sz w:val="32"/>
          <w:szCs w:val="32"/>
        </w:rPr>
        <w:t xml:space="preserve"> 二〇</w:t>
      </w:r>
      <w:r>
        <w:rPr>
          <w:rFonts w:hint="eastAsia" w:ascii="宋体" w:hAnsi="宋体"/>
          <w:b/>
          <w:sz w:val="32"/>
          <w:szCs w:val="32"/>
          <w:lang w:eastAsia="zh-CN"/>
        </w:rPr>
        <w:t>二四</w:t>
      </w:r>
      <w:r>
        <w:rPr>
          <w:rFonts w:hint="eastAsia" w:ascii="宋体" w:hAnsi="宋体"/>
          <w:b/>
          <w:sz w:val="32"/>
          <w:szCs w:val="32"/>
        </w:rPr>
        <w:t>年</w:t>
      </w:r>
      <w:r>
        <w:rPr>
          <w:rFonts w:hint="eastAsia" w:ascii="宋体" w:hAnsi="宋体"/>
          <w:b/>
          <w:sz w:val="32"/>
          <w:szCs w:val="32"/>
          <w:lang w:eastAsia="zh-CN"/>
        </w:rPr>
        <w:t>五</w:t>
      </w:r>
      <w:r>
        <w:rPr>
          <w:rFonts w:hint="eastAsia" w:ascii="宋体" w:hAnsi="宋体"/>
          <w:b/>
          <w:sz w:val="32"/>
          <w:szCs w:val="32"/>
        </w:rPr>
        <w:t>月</w:t>
      </w:r>
    </w:p>
    <w:p>
      <w:pPr>
        <w:jc w:val="center"/>
        <w:rPr>
          <w:rFonts w:ascii="宋体" w:hAnsi="宋体"/>
          <w:b/>
          <w:sz w:val="32"/>
          <w:szCs w:val="32"/>
        </w:rPr>
      </w:pPr>
    </w:p>
    <w:p>
      <w:pPr>
        <w:jc w:val="center"/>
        <w:rPr>
          <w:rFonts w:ascii="宋体" w:hAnsi="宋体"/>
          <w:b/>
          <w:sz w:val="32"/>
          <w:szCs w:val="32"/>
        </w:rPr>
      </w:pPr>
    </w:p>
    <w:p>
      <w:pPr>
        <w:jc w:val="center"/>
        <w:rPr>
          <w:rFonts w:ascii="宋体" w:hAnsi="宋体"/>
          <w:b/>
          <w:sz w:val="32"/>
          <w:szCs w:val="32"/>
        </w:r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ascii="宋体"/>
          <w:b/>
          <w:sz w:val="30"/>
          <w:szCs w:val="30"/>
        </w:rPr>
      </w:pPr>
      <w:r>
        <w:rPr>
          <w:rFonts w:hint="eastAsia" w:ascii="宋体" w:hAnsi="宋体"/>
          <w:b/>
          <w:sz w:val="30"/>
          <w:szCs w:val="30"/>
        </w:rPr>
        <w:t>山西省地方标准</w:t>
      </w: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ascii="宋体"/>
          <w:b/>
          <w:sz w:val="30"/>
          <w:szCs w:val="30"/>
        </w:rPr>
      </w:pPr>
      <w:r>
        <w:rPr>
          <w:rFonts w:hint="eastAsia" w:ascii="宋体" w:hAnsi="宋体"/>
          <w:b/>
          <w:sz w:val="30"/>
          <w:szCs w:val="30"/>
        </w:rPr>
        <w:t>《</w:t>
      </w:r>
      <w:r>
        <w:rPr>
          <w:rFonts w:hint="eastAsia" w:ascii="宋体" w:hAnsi="宋体"/>
          <w:b/>
          <w:sz w:val="30"/>
          <w:szCs w:val="30"/>
          <w:lang w:val="en-US" w:eastAsia="zh-CN"/>
        </w:rPr>
        <w:t>西瓜集约化育苗生产技术规程</w:t>
      </w:r>
      <w:r>
        <w:rPr>
          <w:rFonts w:hint="eastAsia" w:ascii="宋体" w:hAnsi="宋体"/>
          <w:b/>
          <w:sz w:val="30"/>
          <w:szCs w:val="30"/>
        </w:rPr>
        <w:t>》</w:t>
      </w: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b/>
          <w:sz w:val="30"/>
          <w:szCs w:val="30"/>
        </w:rPr>
      </w:pPr>
      <w:r>
        <w:rPr>
          <w:rFonts w:hint="eastAsia" w:ascii="宋体" w:hAnsi="宋体"/>
          <w:b/>
          <w:sz w:val="30"/>
          <w:szCs w:val="30"/>
        </w:rPr>
        <w:t>编制说明</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b/>
          <w:sz w:val="30"/>
          <w:szCs w:val="30"/>
        </w:rPr>
      </w:pPr>
    </w:p>
    <w:p>
      <w:pPr>
        <w:spacing w:line="360" w:lineRule="auto"/>
        <w:ind w:firstLine="480" w:firstLineChars="200"/>
        <w:outlineLvl w:val="0"/>
        <w:rPr>
          <w:rFonts w:ascii="黑体" w:eastAsia="黑体"/>
          <w:sz w:val="24"/>
        </w:rPr>
      </w:pPr>
      <w:r>
        <w:rPr>
          <w:rFonts w:hint="eastAsia" w:ascii="黑体" w:eastAsia="黑体"/>
          <w:sz w:val="24"/>
        </w:rPr>
        <w:t>一、工作简况</w:t>
      </w:r>
    </w:p>
    <w:p>
      <w:pPr>
        <w:spacing w:line="360" w:lineRule="auto"/>
        <w:ind w:left="465"/>
        <w:outlineLvl w:val="1"/>
        <w:rPr>
          <w:rFonts w:ascii="楷体_GB2312" w:eastAsia="楷体_GB2312"/>
          <w:sz w:val="24"/>
        </w:rPr>
      </w:pPr>
      <w:r>
        <w:rPr>
          <w:rFonts w:hint="eastAsia" w:ascii="楷体_GB2312" w:eastAsia="楷体_GB2312"/>
          <w:sz w:val="24"/>
        </w:rPr>
        <w:t>1任务来源</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both"/>
        <w:textAlignment w:val="auto"/>
        <w:outlineLvl w:val="1"/>
        <w:rPr>
          <w:rFonts w:ascii="仿宋_GB2312" w:hAnsi="宋体" w:eastAsia="仿宋_GB2312"/>
          <w:sz w:val="24"/>
        </w:rPr>
      </w:pPr>
      <w:r>
        <w:rPr>
          <w:rFonts w:hint="eastAsia" w:ascii="仿宋_GB2312" w:hAnsi="宋体" w:eastAsia="仿宋_GB2312"/>
          <w:sz w:val="24"/>
          <w:lang w:val="en-US" w:eastAsia="zh-CN"/>
        </w:rPr>
        <w:t>按照</w:t>
      </w:r>
      <w:r>
        <w:rPr>
          <w:rFonts w:hint="eastAsia" w:ascii="仿宋_GB2312" w:hAnsi="宋体" w:eastAsia="仿宋_GB2312"/>
          <w:sz w:val="24"/>
        </w:rPr>
        <w:t>山西省市场监督管理局关于2022年度省级地方标准复审结论公告（山西省地方标准公告2022年第20号），《</w:t>
      </w:r>
      <w:r>
        <w:rPr>
          <w:rFonts w:hint="eastAsia" w:ascii="仿宋_GB2312" w:hAnsi="宋体" w:eastAsia="仿宋_GB2312"/>
          <w:sz w:val="24"/>
          <w:lang w:val="en-US" w:eastAsia="zh-CN"/>
        </w:rPr>
        <w:t>西瓜集约化育苗生产技术规程</w:t>
      </w:r>
      <w:r>
        <w:rPr>
          <w:rFonts w:hint="eastAsia" w:ascii="仿宋_GB2312" w:hAnsi="宋体" w:eastAsia="仿宋_GB2312"/>
          <w:sz w:val="24"/>
        </w:rPr>
        <w:t>》DB14/T</w:t>
      </w:r>
      <w:r>
        <w:rPr>
          <w:rFonts w:hint="eastAsia" w:ascii="仿宋_GB2312" w:hAnsi="宋体" w:eastAsia="仿宋_GB2312"/>
          <w:sz w:val="24"/>
          <w:lang w:val="en-US" w:eastAsia="zh-CN"/>
        </w:rPr>
        <w:t xml:space="preserve"> </w:t>
      </w:r>
      <w:r>
        <w:rPr>
          <w:rFonts w:hint="eastAsia" w:ascii="仿宋_GB2312" w:hAnsi="宋体" w:eastAsia="仿宋_GB2312"/>
          <w:sz w:val="24"/>
        </w:rPr>
        <w:t>912-2014</w:t>
      </w:r>
      <w:r>
        <w:rPr>
          <w:rFonts w:hint="eastAsia" w:ascii="仿宋_GB2312" w:hAnsi="宋体" w:eastAsia="仿宋_GB2312"/>
          <w:sz w:val="24"/>
          <w:lang w:val="en-US" w:eastAsia="zh-CN"/>
        </w:rPr>
        <w:t>被</w:t>
      </w:r>
      <w:r>
        <w:rPr>
          <w:rFonts w:hint="eastAsia" w:ascii="仿宋_GB2312" w:hAnsi="宋体" w:eastAsia="仿宋_GB2312"/>
          <w:sz w:val="24"/>
        </w:rPr>
        <w:t>列</w:t>
      </w:r>
      <w:r>
        <w:rPr>
          <w:rFonts w:hint="eastAsia" w:ascii="仿宋_GB2312" w:hAnsi="宋体" w:eastAsia="仿宋_GB2312"/>
          <w:sz w:val="24"/>
          <w:lang w:val="en-US" w:eastAsia="zh-CN"/>
        </w:rPr>
        <w:t>入</w:t>
      </w:r>
      <w:r>
        <w:rPr>
          <w:rFonts w:hint="eastAsia" w:ascii="仿宋_GB2312" w:hAnsi="宋体" w:eastAsia="仿宋_GB2312"/>
          <w:sz w:val="24"/>
        </w:rPr>
        <w:t>山西省地方标准修订计划，本标准由山西省农业标准化技术委员会（SXS/TC19）归口。</w:t>
      </w:r>
    </w:p>
    <w:p>
      <w:pPr>
        <w:keepNext w:val="0"/>
        <w:keepLines w:val="0"/>
        <w:pageBreakBefore w:val="0"/>
        <w:widowControl w:val="0"/>
        <w:kinsoku/>
        <w:wordWrap/>
        <w:overflowPunct/>
        <w:topLinePunct w:val="0"/>
        <w:autoSpaceDE/>
        <w:autoSpaceDN/>
        <w:bidi w:val="0"/>
        <w:adjustRightInd/>
        <w:snapToGrid/>
        <w:spacing w:line="440" w:lineRule="exact"/>
        <w:ind w:left="465"/>
        <w:textAlignment w:val="auto"/>
        <w:outlineLvl w:val="1"/>
        <w:rPr>
          <w:rFonts w:ascii="楷体_GB2312" w:eastAsia="楷体_GB2312"/>
          <w:sz w:val="24"/>
        </w:rPr>
      </w:pPr>
      <w:r>
        <w:rPr>
          <w:rFonts w:hint="eastAsia" w:ascii="楷体_GB2312" w:eastAsia="楷体_GB2312"/>
          <w:sz w:val="24"/>
        </w:rPr>
        <w:t>2 起草</w:t>
      </w:r>
      <w:r>
        <w:rPr>
          <w:rFonts w:ascii="楷体_GB2312" w:eastAsia="楷体_GB2312"/>
          <w:sz w:val="24"/>
        </w:rPr>
        <w:t>单位和主要起草人</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outlineLvl w:val="1"/>
        <w:rPr>
          <w:rFonts w:ascii="仿宋_GB2312" w:hAnsi="宋体" w:eastAsia="仿宋_GB2312"/>
          <w:sz w:val="24"/>
        </w:rPr>
      </w:pPr>
      <w:r>
        <w:rPr>
          <w:rFonts w:ascii="仿宋_GB2312" w:hAnsi="宋体" w:eastAsia="仿宋_GB2312"/>
          <w:sz w:val="24"/>
        </w:rPr>
        <w:t>起草任务由</w:t>
      </w:r>
      <w:r>
        <w:rPr>
          <w:rFonts w:hint="eastAsia" w:ascii="仿宋_GB2312" w:hAnsi="宋体" w:eastAsia="仿宋_GB2312"/>
          <w:sz w:val="24"/>
          <w:lang w:eastAsia="zh-CN"/>
        </w:rPr>
        <w:t>山西农业大学、</w:t>
      </w:r>
      <w:r>
        <w:rPr>
          <w:rFonts w:hint="eastAsia" w:ascii="仿宋_GB2312" w:hAnsi="宋体" w:eastAsia="仿宋_GB2312"/>
          <w:sz w:val="24"/>
          <w:lang w:val="en-US" w:eastAsia="zh-CN"/>
        </w:rPr>
        <w:t>山西省园艺产业发展中心、运城市盐湖区禹润农业发展有限公司</w:t>
      </w:r>
      <w:r>
        <w:rPr>
          <w:rFonts w:hint="eastAsia" w:ascii="仿宋_GB2312" w:hAnsi="宋体" w:eastAsia="仿宋_GB2312"/>
          <w:sz w:val="24"/>
          <w:lang w:eastAsia="zh-CN"/>
        </w:rPr>
        <w:t>承担</w:t>
      </w:r>
      <w:r>
        <w:rPr>
          <w:rFonts w:ascii="仿宋_GB2312" w:hAnsi="宋体" w:eastAsia="仿宋_GB2312"/>
          <w:sz w:val="24"/>
        </w:rPr>
        <w:t>。</w:t>
      </w:r>
    </w:p>
    <w:p>
      <w:pPr>
        <w:spacing w:line="360" w:lineRule="auto"/>
        <w:ind w:firstLine="480" w:firstLineChars="200"/>
        <w:jc w:val="center"/>
        <w:outlineLvl w:val="1"/>
        <w:rPr>
          <w:rFonts w:ascii="仿宋_GB2312" w:hAnsi="宋体" w:eastAsia="仿宋_GB2312"/>
          <w:sz w:val="24"/>
        </w:rPr>
      </w:pPr>
      <w:r>
        <w:rPr>
          <w:rFonts w:ascii="仿宋_GB2312" w:hAnsi="宋体" w:eastAsia="仿宋_GB2312"/>
          <w:sz w:val="24"/>
        </w:rPr>
        <w:t>主要起草人信息</w:t>
      </w:r>
    </w:p>
    <w:tbl>
      <w:tblPr>
        <w:tblStyle w:val="15"/>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1"/>
        <w:gridCol w:w="969"/>
        <w:gridCol w:w="1659"/>
        <w:gridCol w:w="3492"/>
        <w:gridCol w:w="11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1" w:type="pct"/>
          </w:tcPr>
          <w:p>
            <w:pPr>
              <w:spacing w:line="400" w:lineRule="exact"/>
              <w:jc w:val="center"/>
              <w:rPr>
                <w:rFonts w:ascii="仿宋" w:hAnsi="仿宋" w:eastAsia="仿宋" w:cs="Courier New"/>
                <w:sz w:val="24"/>
              </w:rPr>
            </w:pPr>
            <w:r>
              <w:rPr>
                <w:rFonts w:hint="eastAsia" w:ascii="仿宋" w:hAnsi="仿宋" w:eastAsia="仿宋" w:cs="Courier New"/>
                <w:sz w:val="24"/>
              </w:rPr>
              <w:t>姓名</w:t>
            </w:r>
          </w:p>
        </w:tc>
        <w:tc>
          <w:tcPr>
            <w:tcW w:w="569" w:type="pct"/>
          </w:tcPr>
          <w:p>
            <w:pPr>
              <w:spacing w:line="400" w:lineRule="exact"/>
              <w:jc w:val="center"/>
              <w:rPr>
                <w:rFonts w:ascii="仿宋" w:hAnsi="仿宋" w:eastAsia="仿宋" w:cs="Courier New"/>
                <w:sz w:val="24"/>
              </w:rPr>
            </w:pPr>
            <w:r>
              <w:rPr>
                <w:rFonts w:hint="eastAsia" w:ascii="仿宋" w:hAnsi="仿宋" w:eastAsia="仿宋" w:cs="Courier New"/>
                <w:sz w:val="24"/>
              </w:rPr>
              <w:t>性别</w:t>
            </w:r>
          </w:p>
        </w:tc>
        <w:tc>
          <w:tcPr>
            <w:tcW w:w="974" w:type="pct"/>
          </w:tcPr>
          <w:p>
            <w:pPr>
              <w:spacing w:line="400" w:lineRule="exact"/>
              <w:jc w:val="center"/>
              <w:rPr>
                <w:rFonts w:ascii="仿宋" w:hAnsi="仿宋" w:eastAsia="仿宋" w:cs="Courier New"/>
                <w:sz w:val="24"/>
              </w:rPr>
            </w:pPr>
            <w:r>
              <w:rPr>
                <w:rFonts w:hint="eastAsia" w:ascii="仿宋" w:hAnsi="仿宋" w:eastAsia="仿宋" w:cs="Courier New"/>
                <w:sz w:val="24"/>
              </w:rPr>
              <w:t>职务/职称</w:t>
            </w:r>
          </w:p>
        </w:tc>
        <w:tc>
          <w:tcPr>
            <w:tcW w:w="2050" w:type="pct"/>
          </w:tcPr>
          <w:p>
            <w:pPr>
              <w:spacing w:line="400" w:lineRule="exact"/>
              <w:jc w:val="center"/>
              <w:rPr>
                <w:rFonts w:ascii="仿宋" w:hAnsi="仿宋" w:eastAsia="仿宋" w:cs="Courier New"/>
                <w:sz w:val="24"/>
              </w:rPr>
            </w:pPr>
            <w:r>
              <w:rPr>
                <w:rFonts w:hint="eastAsia" w:ascii="仿宋" w:hAnsi="仿宋" w:eastAsia="仿宋" w:cs="Courier New"/>
                <w:sz w:val="24"/>
              </w:rPr>
              <w:t>工作单位</w:t>
            </w:r>
          </w:p>
        </w:tc>
        <w:tc>
          <w:tcPr>
            <w:tcW w:w="694" w:type="pct"/>
          </w:tcPr>
          <w:p>
            <w:pPr>
              <w:spacing w:line="400" w:lineRule="exact"/>
              <w:jc w:val="center"/>
              <w:rPr>
                <w:rFonts w:ascii="仿宋" w:hAnsi="仿宋" w:eastAsia="仿宋" w:cs="Courier New"/>
                <w:sz w:val="24"/>
              </w:rPr>
            </w:pPr>
            <w:r>
              <w:rPr>
                <w:rFonts w:hint="eastAsia" w:ascii="仿宋" w:hAnsi="仿宋" w:eastAsia="仿宋" w:cs="Courier New"/>
                <w:sz w:val="24"/>
              </w:rPr>
              <w:t>任务分工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1" w:type="pct"/>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Times New Roman" w:eastAsia="仿宋_GB2312" w:cs="Times New Roman"/>
                <w:sz w:val="21"/>
                <w:szCs w:val="21"/>
                <w:lang w:val="en-US" w:eastAsia="zh-CN"/>
              </w:rPr>
            </w:pPr>
            <w:r>
              <w:rPr>
                <w:rFonts w:hint="eastAsia" w:ascii="仿宋_GB2312" w:hAnsi="Times New Roman" w:eastAsia="仿宋_GB2312" w:cs="Times New Roman"/>
                <w:sz w:val="21"/>
                <w:szCs w:val="21"/>
                <w:lang w:val="en-US" w:eastAsia="zh-CN"/>
              </w:rPr>
              <w:t>吴俊华</w:t>
            </w:r>
          </w:p>
        </w:tc>
        <w:tc>
          <w:tcPr>
            <w:tcW w:w="569" w:type="pct"/>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Times New Roman" w:eastAsia="仿宋_GB2312" w:cs="Times New Roman"/>
                <w:sz w:val="21"/>
                <w:szCs w:val="21"/>
                <w:lang w:val="en-US" w:eastAsia="zh-CN"/>
              </w:rPr>
            </w:pPr>
            <w:r>
              <w:rPr>
                <w:rFonts w:hint="eastAsia" w:ascii="仿宋_GB2312" w:hAnsi="Times New Roman" w:eastAsia="仿宋_GB2312" w:cs="Times New Roman"/>
                <w:sz w:val="21"/>
                <w:szCs w:val="21"/>
                <w:lang w:val="en-US" w:eastAsia="zh-CN"/>
              </w:rPr>
              <w:t>女</w:t>
            </w:r>
          </w:p>
        </w:tc>
        <w:tc>
          <w:tcPr>
            <w:tcW w:w="974" w:type="pct"/>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Times New Roman" w:eastAsia="仿宋_GB2312" w:cs="Times New Roman"/>
                <w:sz w:val="21"/>
                <w:szCs w:val="21"/>
                <w:lang w:val="en-US" w:eastAsia="zh-CN"/>
              </w:rPr>
            </w:pPr>
            <w:r>
              <w:rPr>
                <w:rFonts w:hint="eastAsia" w:ascii="仿宋_GB2312" w:hAnsi="Times New Roman" w:eastAsia="仿宋_GB2312" w:cs="Times New Roman"/>
                <w:sz w:val="21"/>
                <w:szCs w:val="21"/>
                <w:lang w:val="en-US" w:eastAsia="zh-CN"/>
              </w:rPr>
              <w:t>副研究员</w:t>
            </w:r>
          </w:p>
        </w:tc>
        <w:tc>
          <w:tcPr>
            <w:tcW w:w="2050" w:type="pct"/>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Times New Roman" w:eastAsia="仿宋_GB2312" w:cs="Times New Roman"/>
                <w:sz w:val="21"/>
                <w:szCs w:val="21"/>
                <w:lang w:val="en-US" w:eastAsia="zh-CN"/>
              </w:rPr>
            </w:pPr>
            <w:r>
              <w:rPr>
                <w:rFonts w:hint="eastAsia" w:ascii="仿宋_GB2312" w:hAnsi="Times New Roman" w:eastAsia="仿宋_GB2312" w:cs="Times New Roman"/>
                <w:sz w:val="21"/>
                <w:szCs w:val="21"/>
                <w:lang w:val="en-US" w:eastAsia="zh-CN"/>
              </w:rPr>
              <w:t>山西农业大学</w:t>
            </w:r>
          </w:p>
        </w:tc>
        <w:tc>
          <w:tcPr>
            <w:tcW w:w="694" w:type="pct"/>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Times New Roman" w:eastAsia="仿宋_GB2312" w:cs="Times New Roman"/>
                <w:sz w:val="21"/>
                <w:szCs w:val="21"/>
                <w:lang w:val="en-US" w:eastAsia="zh-CN"/>
              </w:rPr>
            </w:pPr>
            <w:r>
              <w:rPr>
                <w:rFonts w:hint="eastAsia" w:ascii="仿宋_GB2312" w:hAnsi="Times New Roman" w:eastAsia="仿宋_GB2312" w:cs="Times New Roman"/>
                <w:sz w:val="21"/>
                <w:szCs w:val="21"/>
                <w:lang w:val="en-US" w:eastAsia="zh-CN"/>
              </w:rPr>
              <w:t>牵头负责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1" w:type="pct"/>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Times New Roman" w:eastAsia="仿宋_GB2312" w:cs="Times New Roman"/>
                <w:sz w:val="21"/>
                <w:szCs w:val="21"/>
                <w:lang w:val="en-US" w:eastAsia="zh-CN"/>
              </w:rPr>
            </w:pPr>
            <w:r>
              <w:rPr>
                <w:rFonts w:hint="eastAsia" w:ascii="仿宋_GB2312" w:hAnsi="Times New Roman" w:eastAsia="仿宋_GB2312" w:cs="Times New Roman"/>
                <w:sz w:val="21"/>
                <w:szCs w:val="21"/>
                <w:lang w:val="en-US" w:eastAsia="zh-CN"/>
              </w:rPr>
              <w:t>刘瑞宇</w:t>
            </w:r>
          </w:p>
        </w:tc>
        <w:tc>
          <w:tcPr>
            <w:tcW w:w="569" w:type="pct"/>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Times New Roman" w:eastAsia="仿宋_GB2312" w:cs="Times New Roman"/>
                <w:sz w:val="21"/>
                <w:szCs w:val="21"/>
                <w:lang w:val="en-US" w:eastAsia="zh-CN"/>
              </w:rPr>
            </w:pPr>
            <w:r>
              <w:rPr>
                <w:rFonts w:hint="eastAsia" w:ascii="仿宋_GB2312" w:hAnsi="Times New Roman" w:eastAsia="仿宋_GB2312" w:cs="Times New Roman"/>
                <w:sz w:val="21"/>
                <w:szCs w:val="21"/>
                <w:lang w:val="en-US" w:eastAsia="zh-CN"/>
              </w:rPr>
              <w:t>男</w:t>
            </w:r>
          </w:p>
        </w:tc>
        <w:tc>
          <w:tcPr>
            <w:tcW w:w="974" w:type="pct"/>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Times New Roman" w:eastAsia="仿宋_GB2312" w:cs="Times New Roman"/>
                <w:sz w:val="21"/>
                <w:szCs w:val="21"/>
                <w:lang w:val="en-US" w:eastAsia="zh-CN"/>
              </w:rPr>
            </w:pPr>
            <w:r>
              <w:rPr>
                <w:rFonts w:hint="eastAsia" w:ascii="仿宋_GB2312" w:hAnsi="Times New Roman" w:eastAsia="仿宋_GB2312" w:cs="Times New Roman"/>
                <w:sz w:val="21"/>
                <w:szCs w:val="21"/>
                <w:lang w:val="en-US" w:eastAsia="zh-CN"/>
              </w:rPr>
              <w:t>高级农艺师</w:t>
            </w:r>
          </w:p>
        </w:tc>
        <w:tc>
          <w:tcPr>
            <w:tcW w:w="2050" w:type="pct"/>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Times New Roman" w:eastAsia="仿宋_GB2312" w:cs="Times New Roman"/>
                <w:sz w:val="21"/>
                <w:szCs w:val="21"/>
                <w:lang w:val="en-US" w:eastAsia="zh-CN"/>
              </w:rPr>
            </w:pPr>
            <w:r>
              <w:rPr>
                <w:rFonts w:hint="eastAsia" w:ascii="仿宋_GB2312" w:hAnsi="Times New Roman" w:eastAsia="仿宋_GB2312" w:cs="Times New Roman"/>
                <w:sz w:val="21"/>
                <w:szCs w:val="21"/>
                <w:lang w:val="en-US" w:eastAsia="zh-CN"/>
              </w:rPr>
              <w:t>山西省园艺产业发展中心</w:t>
            </w:r>
          </w:p>
        </w:tc>
        <w:tc>
          <w:tcPr>
            <w:tcW w:w="694" w:type="pct"/>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Times New Roman" w:eastAsia="仿宋_GB2312" w:cs="Times New Roman"/>
                <w:sz w:val="21"/>
                <w:szCs w:val="21"/>
                <w:lang w:val="en-US" w:eastAsia="zh-CN"/>
              </w:rPr>
            </w:pPr>
            <w:r>
              <w:rPr>
                <w:rFonts w:hint="eastAsia" w:ascii="仿宋_GB2312" w:hAnsi="Times New Roman" w:eastAsia="仿宋_GB2312" w:cs="Times New Roman"/>
                <w:sz w:val="21"/>
                <w:szCs w:val="21"/>
                <w:lang w:val="en-US" w:eastAsia="zh-CN"/>
              </w:rPr>
              <w:t>文本起草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11" w:type="pct"/>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Times New Roman" w:eastAsia="仿宋_GB2312" w:cs="Times New Roman"/>
                <w:sz w:val="21"/>
                <w:szCs w:val="21"/>
                <w:lang w:val="en-US" w:eastAsia="zh-CN"/>
              </w:rPr>
            </w:pPr>
            <w:r>
              <w:rPr>
                <w:rFonts w:hint="eastAsia" w:ascii="仿宋_GB2312" w:eastAsia="仿宋_GB2312" w:cs="Times New Roman"/>
                <w:sz w:val="21"/>
                <w:szCs w:val="21"/>
                <w:lang w:val="en-US" w:eastAsia="zh-CN"/>
              </w:rPr>
              <w:t>郭益鸿</w:t>
            </w:r>
          </w:p>
        </w:tc>
        <w:tc>
          <w:tcPr>
            <w:tcW w:w="569" w:type="pct"/>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Times New Roman" w:eastAsia="仿宋_GB2312" w:cs="Times New Roman"/>
                <w:sz w:val="21"/>
                <w:szCs w:val="21"/>
                <w:lang w:val="en-US" w:eastAsia="zh-CN"/>
              </w:rPr>
            </w:pPr>
            <w:r>
              <w:rPr>
                <w:rFonts w:hint="eastAsia" w:ascii="仿宋_GB2312" w:hAnsi="Times New Roman" w:eastAsia="仿宋_GB2312" w:cs="Times New Roman"/>
                <w:sz w:val="21"/>
                <w:szCs w:val="21"/>
                <w:lang w:val="en-US" w:eastAsia="zh-CN"/>
              </w:rPr>
              <w:t>男</w:t>
            </w:r>
          </w:p>
        </w:tc>
        <w:tc>
          <w:tcPr>
            <w:tcW w:w="974" w:type="pct"/>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Times New Roman" w:eastAsia="仿宋_GB2312" w:cs="Times New Roman"/>
                <w:sz w:val="21"/>
                <w:szCs w:val="21"/>
                <w:lang w:val="en-US" w:eastAsia="zh-CN"/>
              </w:rPr>
            </w:pPr>
            <w:r>
              <w:rPr>
                <w:rFonts w:hint="eastAsia" w:ascii="仿宋_GB2312" w:eastAsia="仿宋_GB2312" w:cs="Times New Roman"/>
                <w:sz w:val="21"/>
                <w:szCs w:val="21"/>
                <w:lang w:val="en-US" w:eastAsia="zh-CN"/>
              </w:rPr>
              <w:t>高级农艺师</w:t>
            </w:r>
          </w:p>
        </w:tc>
        <w:tc>
          <w:tcPr>
            <w:tcW w:w="2050" w:type="pct"/>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Times New Roman" w:eastAsia="仿宋_GB2312" w:cs="Times New Roman"/>
                <w:sz w:val="21"/>
                <w:szCs w:val="21"/>
                <w:lang w:val="en-US" w:eastAsia="zh-CN"/>
              </w:rPr>
            </w:pPr>
            <w:r>
              <w:rPr>
                <w:rFonts w:hint="eastAsia" w:ascii="仿宋_GB2312" w:eastAsia="仿宋_GB2312" w:cs="Times New Roman"/>
                <w:sz w:val="21"/>
                <w:szCs w:val="21"/>
                <w:lang w:val="en-US" w:eastAsia="zh-CN"/>
              </w:rPr>
              <w:t>运城市农业农村局</w:t>
            </w:r>
          </w:p>
        </w:tc>
        <w:tc>
          <w:tcPr>
            <w:tcW w:w="694" w:type="pct"/>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Times New Roman" w:eastAsia="仿宋_GB2312" w:cs="Times New Roman"/>
                <w:sz w:val="21"/>
                <w:szCs w:val="21"/>
                <w:lang w:val="en-US" w:eastAsia="zh-CN"/>
              </w:rPr>
            </w:pPr>
            <w:r>
              <w:rPr>
                <w:rFonts w:hint="eastAsia" w:ascii="仿宋_GB2312" w:hAnsi="Times New Roman" w:eastAsia="仿宋_GB2312" w:cs="Times New Roman"/>
                <w:sz w:val="21"/>
                <w:szCs w:val="21"/>
                <w:lang w:val="en-US" w:eastAsia="zh-CN"/>
              </w:rPr>
              <w:t>技术验证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1" w:type="pct"/>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eastAsia="仿宋_GB2312" w:cs="Times New Roman"/>
                <w:sz w:val="21"/>
                <w:szCs w:val="21"/>
                <w:lang w:val="en-US" w:eastAsia="zh-CN"/>
              </w:rPr>
            </w:pPr>
            <w:r>
              <w:rPr>
                <w:rFonts w:hint="eastAsia" w:ascii="仿宋_GB2312" w:eastAsia="仿宋_GB2312" w:cs="Times New Roman"/>
                <w:sz w:val="21"/>
                <w:szCs w:val="21"/>
                <w:lang w:val="en-US" w:eastAsia="zh-CN"/>
              </w:rPr>
              <w:t>许  周</w:t>
            </w:r>
          </w:p>
        </w:tc>
        <w:tc>
          <w:tcPr>
            <w:tcW w:w="569" w:type="pct"/>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Times New Roman" w:eastAsia="仿宋_GB2312" w:cs="Times New Roman"/>
                <w:sz w:val="21"/>
                <w:szCs w:val="21"/>
                <w:lang w:val="en-US" w:eastAsia="zh-CN"/>
              </w:rPr>
            </w:pPr>
            <w:r>
              <w:rPr>
                <w:rFonts w:hint="eastAsia" w:ascii="仿宋_GB2312" w:hAnsi="Times New Roman" w:eastAsia="仿宋_GB2312" w:cs="Times New Roman"/>
                <w:sz w:val="21"/>
                <w:szCs w:val="21"/>
                <w:lang w:val="en-US" w:eastAsia="zh-CN"/>
              </w:rPr>
              <w:t>男</w:t>
            </w:r>
          </w:p>
        </w:tc>
        <w:tc>
          <w:tcPr>
            <w:tcW w:w="974" w:type="pct"/>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eastAsia="仿宋_GB2312" w:cs="Times New Roman"/>
                <w:sz w:val="21"/>
                <w:szCs w:val="21"/>
                <w:lang w:val="en-US" w:eastAsia="zh-CN"/>
              </w:rPr>
            </w:pPr>
            <w:r>
              <w:rPr>
                <w:rFonts w:hint="eastAsia" w:ascii="仿宋_GB2312" w:eastAsia="仿宋_GB2312" w:cs="Times New Roman"/>
                <w:sz w:val="21"/>
                <w:szCs w:val="21"/>
                <w:lang w:val="en-US" w:eastAsia="zh-CN"/>
              </w:rPr>
              <w:t>高级农艺师</w:t>
            </w:r>
          </w:p>
        </w:tc>
        <w:tc>
          <w:tcPr>
            <w:tcW w:w="2050" w:type="pct"/>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eastAsia="仿宋_GB2312" w:cs="Times New Roman"/>
                <w:sz w:val="21"/>
                <w:szCs w:val="21"/>
                <w:lang w:val="en-US" w:eastAsia="zh-CN"/>
              </w:rPr>
            </w:pPr>
            <w:r>
              <w:rPr>
                <w:rFonts w:hint="eastAsia" w:ascii="仿宋_GB2312" w:eastAsia="仿宋_GB2312" w:cs="Times New Roman"/>
                <w:sz w:val="21"/>
                <w:szCs w:val="21"/>
                <w:lang w:val="en-US" w:eastAsia="zh-CN"/>
              </w:rPr>
              <w:t>运城市盐湖区农业农村局</w:t>
            </w:r>
          </w:p>
        </w:tc>
        <w:tc>
          <w:tcPr>
            <w:tcW w:w="694" w:type="pct"/>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Times New Roman" w:eastAsia="仿宋_GB2312" w:cs="Times New Roman"/>
                <w:kern w:val="2"/>
                <w:sz w:val="21"/>
                <w:szCs w:val="21"/>
                <w:lang w:val="en-US" w:eastAsia="zh-CN" w:bidi="ar-SA"/>
              </w:rPr>
            </w:pPr>
            <w:r>
              <w:rPr>
                <w:rFonts w:hint="eastAsia" w:ascii="仿宋_GB2312" w:hAnsi="Times New Roman" w:eastAsia="仿宋_GB2312" w:cs="Times New Roman"/>
                <w:sz w:val="21"/>
                <w:szCs w:val="21"/>
                <w:lang w:val="en-US" w:eastAsia="zh-CN"/>
              </w:rPr>
              <w:t>技术验证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1" w:type="pct"/>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Times New Roman" w:eastAsia="仿宋_GB2312" w:cs="Times New Roman"/>
                <w:sz w:val="21"/>
                <w:szCs w:val="21"/>
                <w:lang w:val="en-US" w:eastAsia="zh-CN"/>
              </w:rPr>
            </w:pPr>
            <w:r>
              <w:rPr>
                <w:rFonts w:hint="eastAsia" w:ascii="仿宋_GB2312" w:hAnsi="Times New Roman" w:eastAsia="仿宋_GB2312" w:cs="Times New Roman"/>
                <w:sz w:val="21"/>
                <w:szCs w:val="21"/>
                <w:lang w:val="en-US" w:eastAsia="zh-CN"/>
              </w:rPr>
              <w:t>王小军</w:t>
            </w:r>
          </w:p>
        </w:tc>
        <w:tc>
          <w:tcPr>
            <w:tcW w:w="569" w:type="pct"/>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Times New Roman" w:eastAsia="仿宋_GB2312" w:cs="Times New Roman"/>
                <w:sz w:val="21"/>
                <w:szCs w:val="21"/>
                <w:lang w:val="en-US" w:eastAsia="zh-CN"/>
              </w:rPr>
            </w:pPr>
            <w:r>
              <w:rPr>
                <w:rFonts w:hint="eastAsia" w:ascii="仿宋_GB2312" w:hAnsi="Times New Roman" w:eastAsia="仿宋_GB2312" w:cs="Times New Roman"/>
                <w:sz w:val="21"/>
                <w:szCs w:val="21"/>
                <w:lang w:val="en-US" w:eastAsia="zh-CN"/>
              </w:rPr>
              <w:t>男</w:t>
            </w:r>
          </w:p>
        </w:tc>
        <w:tc>
          <w:tcPr>
            <w:tcW w:w="974" w:type="pct"/>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Times New Roman" w:eastAsia="仿宋_GB2312" w:cs="Times New Roman"/>
                <w:sz w:val="21"/>
                <w:szCs w:val="21"/>
                <w:lang w:val="en-US" w:eastAsia="zh-CN"/>
              </w:rPr>
            </w:pPr>
            <w:r>
              <w:rPr>
                <w:rFonts w:hint="eastAsia" w:ascii="仿宋_GB2312" w:hAnsi="Times New Roman" w:eastAsia="仿宋_GB2312" w:cs="Times New Roman"/>
                <w:sz w:val="21"/>
                <w:szCs w:val="21"/>
                <w:lang w:val="en-US" w:eastAsia="zh-CN"/>
              </w:rPr>
              <w:t>农艺师</w:t>
            </w:r>
          </w:p>
        </w:tc>
        <w:tc>
          <w:tcPr>
            <w:tcW w:w="2050" w:type="pct"/>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Times New Roman" w:eastAsia="仿宋_GB2312" w:cs="Times New Roman"/>
                <w:sz w:val="21"/>
                <w:szCs w:val="21"/>
                <w:lang w:val="en-US" w:eastAsia="zh-CN"/>
              </w:rPr>
            </w:pPr>
            <w:r>
              <w:rPr>
                <w:rFonts w:hint="eastAsia" w:ascii="仿宋_GB2312" w:hAnsi="Times New Roman" w:eastAsia="仿宋_GB2312" w:cs="Times New Roman"/>
                <w:sz w:val="21"/>
                <w:szCs w:val="21"/>
                <w:lang w:val="en-US" w:eastAsia="zh-CN"/>
              </w:rPr>
              <w:t>山西省园艺产业发展中心</w:t>
            </w:r>
          </w:p>
        </w:tc>
        <w:tc>
          <w:tcPr>
            <w:tcW w:w="694" w:type="pct"/>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Times New Roman" w:eastAsia="仿宋_GB2312" w:cs="Times New Roman"/>
                <w:sz w:val="21"/>
                <w:szCs w:val="21"/>
                <w:lang w:val="en-US" w:eastAsia="zh-CN"/>
              </w:rPr>
            </w:pPr>
            <w:r>
              <w:rPr>
                <w:rFonts w:hint="eastAsia" w:ascii="仿宋_GB2312" w:hAnsi="Times New Roman" w:eastAsia="仿宋_GB2312" w:cs="Times New Roman"/>
                <w:sz w:val="21"/>
                <w:szCs w:val="21"/>
                <w:lang w:val="en-US" w:eastAsia="zh-CN"/>
              </w:rPr>
              <w:t>技术验证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1" w:type="pct"/>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Times New Roman" w:eastAsia="仿宋_GB2312" w:cs="Times New Roman"/>
                <w:sz w:val="21"/>
                <w:szCs w:val="21"/>
                <w:lang w:val="en-US" w:eastAsia="zh-CN"/>
              </w:rPr>
            </w:pPr>
            <w:r>
              <w:rPr>
                <w:rFonts w:hint="eastAsia" w:ascii="仿宋_GB2312" w:eastAsia="仿宋_GB2312" w:cs="Times New Roman"/>
                <w:sz w:val="21"/>
                <w:szCs w:val="21"/>
                <w:lang w:val="en-US" w:eastAsia="zh-CN"/>
              </w:rPr>
              <w:t>陈小露</w:t>
            </w:r>
          </w:p>
        </w:tc>
        <w:tc>
          <w:tcPr>
            <w:tcW w:w="569" w:type="pct"/>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Times New Roman" w:eastAsia="仿宋_GB2312" w:cs="Times New Roman"/>
                <w:sz w:val="21"/>
                <w:szCs w:val="21"/>
                <w:lang w:val="en-US" w:eastAsia="zh-CN"/>
              </w:rPr>
            </w:pPr>
            <w:r>
              <w:rPr>
                <w:rFonts w:hint="eastAsia" w:ascii="仿宋_GB2312" w:hAnsi="Times New Roman" w:eastAsia="仿宋_GB2312" w:cs="Times New Roman"/>
                <w:sz w:val="21"/>
                <w:szCs w:val="21"/>
                <w:lang w:val="en-US" w:eastAsia="zh-CN"/>
              </w:rPr>
              <w:t>女</w:t>
            </w:r>
          </w:p>
        </w:tc>
        <w:tc>
          <w:tcPr>
            <w:tcW w:w="974" w:type="pct"/>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Times New Roman" w:eastAsia="仿宋_GB2312" w:cs="Times New Roman"/>
                <w:sz w:val="21"/>
                <w:szCs w:val="21"/>
                <w:lang w:val="en-US" w:eastAsia="zh-CN"/>
              </w:rPr>
            </w:pPr>
            <w:r>
              <w:rPr>
                <w:rFonts w:hint="eastAsia" w:ascii="仿宋_GB2312" w:hAnsi="Times New Roman" w:eastAsia="仿宋_GB2312" w:cs="Times New Roman"/>
                <w:sz w:val="21"/>
                <w:szCs w:val="21"/>
                <w:lang w:val="en-US" w:eastAsia="zh-CN"/>
              </w:rPr>
              <w:t>农艺师</w:t>
            </w:r>
          </w:p>
        </w:tc>
        <w:tc>
          <w:tcPr>
            <w:tcW w:w="2050" w:type="pct"/>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Times New Roman" w:eastAsia="仿宋_GB2312" w:cs="Times New Roman"/>
                <w:sz w:val="21"/>
                <w:szCs w:val="21"/>
                <w:lang w:val="en-US" w:eastAsia="zh-CN"/>
              </w:rPr>
            </w:pPr>
            <w:r>
              <w:rPr>
                <w:rFonts w:hint="eastAsia" w:ascii="仿宋_GB2312" w:eastAsia="仿宋_GB2312" w:cs="Times New Roman"/>
                <w:sz w:val="21"/>
                <w:szCs w:val="21"/>
                <w:lang w:val="en-US" w:eastAsia="zh-CN"/>
              </w:rPr>
              <w:t>山西省农产品质量安全中心</w:t>
            </w:r>
          </w:p>
        </w:tc>
        <w:tc>
          <w:tcPr>
            <w:tcW w:w="694" w:type="pct"/>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Times New Roman" w:eastAsia="仿宋_GB2312" w:cs="Times New Roman"/>
                <w:sz w:val="21"/>
                <w:szCs w:val="21"/>
                <w:lang w:val="en-US" w:eastAsia="zh-CN"/>
              </w:rPr>
            </w:pPr>
            <w:r>
              <w:rPr>
                <w:rFonts w:hint="eastAsia" w:ascii="仿宋_GB2312" w:hAnsi="Times New Roman" w:eastAsia="仿宋_GB2312" w:cs="Times New Roman"/>
                <w:sz w:val="21"/>
                <w:szCs w:val="21"/>
                <w:lang w:val="en-US" w:eastAsia="zh-CN"/>
              </w:rPr>
              <w:t>整理数据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11" w:type="pct"/>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Times New Roman" w:eastAsia="仿宋_GB2312" w:cs="Times New Roman"/>
                <w:sz w:val="21"/>
                <w:szCs w:val="21"/>
                <w:lang w:val="en-US" w:eastAsia="zh-CN"/>
              </w:rPr>
            </w:pPr>
            <w:r>
              <w:rPr>
                <w:rFonts w:hint="eastAsia" w:ascii="仿宋_GB2312" w:eastAsia="仿宋_GB2312" w:cs="Times New Roman"/>
                <w:sz w:val="21"/>
                <w:szCs w:val="21"/>
                <w:lang w:val="en-US" w:eastAsia="zh-CN"/>
              </w:rPr>
              <w:t>柴秀花</w:t>
            </w:r>
          </w:p>
        </w:tc>
        <w:tc>
          <w:tcPr>
            <w:tcW w:w="569" w:type="pct"/>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Times New Roman" w:eastAsia="仿宋_GB2312" w:cs="Times New Roman"/>
                <w:sz w:val="21"/>
                <w:szCs w:val="21"/>
                <w:lang w:val="en-US" w:eastAsia="zh-CN"/>
              </w:rPr>
            </w:pPr>
            <w:r>
              <w:rPr>
                <w:rFonts w:hint="eastAsia" w:ascii="仿宋_GB2312" w:eastAsia="仿宋_GB2312" w:cs="Times New Roman"/>
                <w:sz w:val="21"/>
                <w:szCs w:val="21"/>
                <w:lang w:val="en-US" w:eastAsia="zh-CN"/>
              </w:rPr>
              <w:t>女</w:t>
            </w:r>
          </w:p>
        </w:tc>
        <w:tc>
          <w:tcPr>
            <w:tcW w:w="974" w:type="pct"/>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Times New Roman" w:eastAsia="仿宋_GB2312" w:cs="Times New Roman"/>
                <w:sz w:val="21"/>
                <w:szCs w:val="21"/>
                <w:lang w:val="en-US" w:eastAsia="zh-CN"/>
              </w:rPr>
            </w:pPr>
            <w:r>
              <w:rPr>
                <w:rFonts w:hint="eastAsia" w:ascii="仿宋_GB2312" w:hAnsi="Times New Roman" w:eastAsia="仿宋_GB2312" w:cs="Times New Roman"/>
                <w:sz w:val="21"/>
                <w:szCs w:val="21"/>
                <w:lang w:val="en-US" w:eastAsia="zh-CN"/>
              </w:rPr>
              <w:t>高级农艺师</w:t>
            </w:r>
          </w:p>
        </w:tc>
        <w:tc>
          <w:tcPr>
            <w:tcW w:w="2050" w:type="pct"/>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Times New Roman" w:eastAsia="仿宋_GB2312" w:cs="Times New Roman"/>
                <w:sz w:val="21"/>
                <w:szCs w:val="21"/>
                <w:lang w:val="en-US" w:eastAsia="zh-CN"/>
              </w:rPr>
            </w:pPr>
            <w:r>
              <w:rPr>
                <w:rFonts w:hint="eastAsia" w:ascii="仿宋_GB2312" w:eastAsia="仿宋_GB2312" w:cs="Times New Roman"/>
                <w:sz w:val="22"/>
                <w:szCs w:val="22"/>
                <w:lang w:val="en-US" w:eastAsia="zh-CN"/>
              </w:rPr>
              <w:t>怀仁市现代农业发展服务中心</w:t>
            </w:r>
          </w:p>
        </w:tc>
        <w:tc>
          <w:tcPr>
            <w:tcW w:w="694" w:type="pct"/>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Times New Roman" w:eastAsia="仿宋_GB2312" w:cs="Times New Roman"/>
                <w:sz w:val="21"/>
                <w:szCs w:val="21"/>
                <w:lang w:val="en-US" w:eastAsia="zh-CN"/>
              </w:rPr>
            </w:pPr>
            <w:r>
              <w:rPr>
                <w:rFonts w:hint="eastAsia" w:ascii="仿宋_GB2312" w:eastAsia="仿宋_GB2312" w:cs="Times New Roman"/>
                <w:sz w:val="21"/>
                <w:szCs w:val="21"/>
                <w:lang w:val="en-US" w:eastAsia="zh-CN"/>
              </w:rPr>
              <w:t>数据整理</w:t>
            </w:r>
          </w:p>
        </w:tc>
      </w:tr>
    </w:tbl>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0"/>
        <w:rPr>
          <w:rFonts w:ascii="楷体" w:hAnsi="楷体" w:eastAsia="楷体" w:cs="Courier New"/>
          <w:sz w:val="28"/>
          <w:szCs w:val="28"/>
        </w:rPr>
      </w:pPr>
      <w:r>
        <w:rPr>
          <w:rFonts w:ascii="黑体" w:eastAsia="黑体"/>
          <w:sz w:val="24"/>
        </w:rPr>
        <w:t>二、</w:t>
      </w:r>
      <w:r>
        <w:rPr>
          <w:rFonts w:hint="eastAsia" w:ascii="黑体" w:eastAsia="黑体"/>
          <w:sz w:val="24"/>
        </w:rPr>
        <w:t>修</w:t>
      </w:r>
      <w:r>
        <w:rPr>
          <w:rFonts w:ascii="黑体" w:eastAsia="黑体"/>
          <w:sz w:val="24"/>
        </w:rPr>
        <w:t>订标准的必要性和意义</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 w:eastAsia="仿宋_GB2312" w:cs="Times New Roman"/>
          <w:sz w:val="24"/>
          <w:szCs w:val="24"/>
          <w:lang w:val="en-US" w:eastAsia="zh-CN"/>
        </w:rPr>
      </w:pPr>
      <w:r>
        <w:rPr>
          <w:rFonts w:hint="eastAsia" w:ascii="仿宋_GB2312" w:hAnsi="仿宋" w:eastAsia="仿宋_GB2312" w:cs="Times New Roman"/>
          <w:sz w:val="24"/>
          <w:szCs w:val="24"/>
          <w:lang w:val="en-US" w:eastAsia="zh-CN"/>
        </w:rPr>
        <w:t>中国是世界西瓜第一大消费国，西瓜也是广大消费者最喜爱的餐后水果之一。近年来，在各项惠农政策的扶持和市场巨大需求的引领带动下，我省西瓜产业发展迅速。2021年全省西瓜播种面积15万亩，产量达42.26万吨，为保障市场供应、丰富产品花色做出了一定的贡献。2014年西瓜集约化育苗生产技术规程发布以来，对提升全省西瓜集约化育苗标准化程度、提高商品苗率和降低育苗劳动成本有着重要的指导意义。但就目前来看，我省西瓜栽培用种苗依然存在着种苗需要外调，自根苗、嫁接苗混合使用，育苗技术不成熟、不完善等，育苗关键技术指标不明确等问题。进一步修订《西瓜集约化育苗生产技术规程》对于推动我省西瓜产业发展，不断提升产品质量有着重要的意义。</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0"/>
        <w:rPr>
          <w:rFonts w:ascii="黑体" w:eastAsia="黑体"/>
          <w:sz w:val="24"/>
        </w:rPr>
      </w:pPr>
      <w:r>
        <w:rPr>
          <w:rFonts w:ascii="黑体" w:eastAsia="黑体"/>
          <w:sz w:val="24"/>
        </w:rPr>
        <w:t>三、主要</w:t>
      </w:r>
      <w:r>
        <w:rPr>
          <w:rFonts w:hint="eastAsia" w:ascii="黑体" w:eastAsia="黑体"/>
          <w:sz w:val="24"/>
        </w:rPr>
        <w:t>修订</w:t>
      </w:r>
      <w:r>
        <w:rPr>
          <w:rFonts w:ascii="黑体" w:eastAsia="黑体"/>
          <w:sz w:val="24"/>
        </w:rPr>
        <w:t>工作过程</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eastAsia="仿宋_GB2312"/>
          <w:bCs/>
          <w:sz w:val="24"/>
        </w:rPr>
      </w:pPr>
      <w:r>
        <w:rPr>
          <w:rFonts w:hint="eastAsia" w:eastAsia="仿宋_GB2312"/>
          <w:bCs/>
          <w:sz w:val="24"/>
        </w:rPr>
        <w:t>1、成立标准修订工作组</w:t>
      </w:r>
    </w:p>
    <w:p>
      <w:pPr>
        <w:keepNext w:val="0"/>
        <w:keepLines w:val="0"/>
        <w:pageBreakBefore w:val="0"/>
        <w:widowControl w:val="0"/>
        <w:kinsoku/>
        <w:wordWrap/>
        <w:overflowPunct/>
        <w:topLinePunct w:val="0"/>
        <w:autoSpaceDE/>
        <w:autoSpaceDN/>
        <w:bidi w:val="0"/>
        <w:adjustRightInd/>
        <w:snapToGrid/>
        <w:spacing w:before="0" w:after="0" w:line="440" w:lineRule="exact"/>
        <w:ind w:right="0" w:rightChars="0" w:firstLine="480" w:firstLineChars="200"/>
        <w:textAlignment w:val="auto"/>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2022年3月，成立了由省园艺产业发展中心、山西农业大学农业经济管理学院、运城市盐湖区蔬菜发展中心、运城市盐湖区禹润农业发展有限公司相关人员组成的</w:t>
      </w:r>
      <w:r>
        <w:rPr>
          <w:rFonts w:hint="eastAsia" w:ascii="仿宋_GB2312" w:hAnsi="仿宋_GB2312" w:eastAsia="仿宋_GB2312" w:cs="仿宋_GB2312"/>
          <w:sz w:val="24"/>
          <w:szCs w:val="24"/>
        </w:rPr>
        <w:t>标准起草工作组</w:t>
      </w:r>
      <w:r>
        <w:rPr>
          <w:rFonts w:hint="eastAsia" w:ascii="仿宋_GB2312" w:hAnsi="仿宋_GB2312" w:eastAsia="仿宋_GB2312" w:cs="仿宋_GB2312"/>
          <w:sz w:val="24"/>
          <w:szCs w:val="24"/>
          <w:lang w:val="en-US" w:eastAsia="zh-CN"/>
        </w:rPr>
        <w:t>，进行了任务分工安排，明确成员职责，着手开展本标准修订的各项工作。</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eastAsia="仿宋_GB2312"/>
          <w:bCs/>
          <w:sz w:val="24"/>
        </w:rPr>
      </w:pPr>
      <w:r>
        <w:rPr>
          <w:rFonts w:hint="eastAsia" w:eastAsia="仿宋_GB2312"/>
          <w:bCs/>
          <w:sz w:val="24"/>
        </w:rPr>
        <w:t>2、调研考察</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eastAsia="仿宋_GB2312"/>
          <w:bCs/>
          <w:sz w:val="24"/>
          <w:lang w:val="en-US" w:eastAsia="zh-CN"/>
        </w:rPr>
      </w:pPr>
      <w:r>
        <w:rPr>
          <w:rFonts w:hint="eastAsia" w:eastAsia="仿宋_GB2312"/>
          <w:bCs/>
          <w:sz w:val="24"/>
          <w:lang w:val="en-US" w:eastAsia="zh-CN"/>
        </w:rPr>
        <w:t>2022年5月-10月，结合实施项目开展了大量调研工作。始终坚持问题导向和结果导向，聚焦西瓜集约化育苗的关键环节，从北到南实地调查了阳高、朔城、原平、榆次、清徐、阳曲、长子、盐湖、新绛、夏县等10个县的蔬菜集约化育苗场，通过发放调查问卷、组织座谈会、专家讨论会、实地考察等方式，全面了解了集约化育苗的技术流程和技术应用情况，结合近年来西瓜集约化育苗试验数据，汇总、分析、整理了我省西瓜集约化育苗的主流措施、关键技术及存在问题，为修订工作提供数据支撑。</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eastAsia="仿宋_GB2312"/>
          <w:bCs/>
          <w:sz w:val="24"/>
        </w:rPr>
      </w:pPr>
      <w:r>
        <w:rPr>
          <w:rFonts w:hint="eastAsia" w:eastAsia="仿宋_GB2312"/>
          <w:bCs/>
          <w:sz w:val="24"/>
        </w:rPr>
        <w:t>3、收集资料</w:t>
      </w:r>
    </w:p>
    <w:p>
      <w:pPr>
        <w:keepNext w:val="0"/>
        <w:keepLines w:val="0"/>
        <w:pageBreakBefore w:val="0"/>
        <w:widowControl w:val="0"/>
        <w:kinsoku/>
        <w:wordWrap/>
        <w:overflowPunct/>
        <w:topLinePunct w:val="0"/>
        <w:autoSpaceDE/>
        <w:autoSpaceDN/>
        <w:bidi w:val="0"/>
        <w:adjustRightInd/>
        <w:snapToGrid/>
        <w:spacing w:before="0" w:after="0" w:line="440" w:lineRule="exact"/>
        <w:ind w:right="0" w:rightChars="0" w:firstLine="480" w:firstLineChars="200"/>
        <w:textAlignment w:val="auto"/>
      </w:pPr>
      <w:r>
        <w:rPr>
          <w:rFonts w:hint="eastAsia" w:ascii="仿宋_GB2312" w:hAnsi="仿宋_GB2312" w:eastAsia="仿宋_GB2312" w:cs="仿宋_GB2312"/>
          <w:sz w:val="24"/>
          <w:szCs w:val="24"/>
          <w:lang w:val="en-US" w:eastAsia="zh-CN"/>
        </w:rPr>
        <w:t>2022年4月，组织起草工作组学习了标准起草和引用标准的相关内容。查阅学习了GB/T 1.1-2020《标准化工作导则 第1部分：标准化文件的结构和起草规则》、DB14/T 2577-2022《地方标准技术审查工作规范》等标准编写规范资料，学习和了解了标准的编写内容、结构和要求、标准制定程序、审查流程以及有关细节要求，为做好本标准的编写工作打好了基础。同时学习了NY/T 2118-2012 蔬菜育苗基质、NY/T 2119 蔬菜穴盘育苗通则等行业标准，为修订工作提供技术参考。在对标准的框架和内容进行讨论后，初步起草了《西瓜集约化育苗生产技术规程》草案。</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eastAsia="仿宋_GB2312"/>
          <w:bCs/>
          <w:sz w:val="24"/>
        </w:rPr>
      </w:pPr>
      <w:r>
        <w:rPr>
          <w:rFonts w:hint="eastAsia" w:eastAsia="仿宋_GB2312"/>
          <w:bCs/>
          <w:sz w:val="24"/>
        </w:rPr>
        <w:t>4、修订文本</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仿宋_GB2312" w:cs="Times New Roman"/>
          <w:bCs/>
          <w:sz w:val="24"/>
          <w:lang w:val="en-US" w:eastAsia="zh-CN"/>
        </w:rPr>
      </w:pPr>
      <w:r>
        <w:rPr>
          <w:rFonts w:hint="eastAsia" w:ascii="Times New Roman" w:hAnsi="Times New Roman" w:eastAsia="仿宋_GB2312" w:cs="Times New Roman"/>
          <w:bCs/>
          <w:sz w:val="24"/>
          <w:lang w:val="en-US" w:eastAsia="zh-CN"/>
        </w:rPr>
        <w:t>2022年11月-2023年4月，标准起草工作组结合试验示范调研结果，在工作组内进行了讨论研究，进一步修改完善了《西瓜集约化育苗生产技术规程》文本和编制说明。2023年5月上中旬，征求了山西农业大学等单位相关专家意见，根据具体实际情况适当采纳，补充完善，形成了《西瓜集约化育苗生产技术规程》初审稿。</w:t>
      </w:r>
    </w:p>
    <w:p>
      <w:pPr>
        <w:keepNext w:val="0"/>
        <w:keepLines w:val="0"/>
        <w:pageBreakBefore w:val="0"/>
        <w:kinsoku/>
        <w:wordWrap/>
        <w:overflowPunct/>
        <w:topLinePunct w:val="0"/>
        <w:bidi w:val="0"/>
        <w:adjustRightInd/>
        <w:snapToGrid/>
        <w:spacing w:line="440" w:lineRule="exact"/>
        <w:ind w:firstLine="480" w:firstLineChars="200"/>
        <w:textAlignment w:val="auto"/>
        <w:rPr>
          <w:rFonts w:hint="eastAsia" w:eastAsia="仿宋_GB2312"/>
          <w:bCs/>
          <w:color w:val="auto"/>
          <w:sz w:val="24"/>
          <w:lang w:eastAsia="zh-CN"/>
        </w:rPr>
      </w:pPr>
      <w:r>
        <w:rPr>
          <w:rFonts w:hint="eastAsia" w:eastAsia="仿宋_GB2312"/>
          <w:bCs/>
          <w:color w:val="auto"/>
          <w:sz w:val="24"/>
        </w:rPr>
        <w:t>5、</w:t>
      </w:r>
      <w:r>
        <w:rPr>
          <w:rFonts w:hint="eastAsia" w:eastAsia="仿宋_GB2312"/>
          <w:bCs/>
          <w:color w:val="auto"/>
          <w:sz w:val="24"/>
          <w:lang w:eastAsia="zh-CN"/>
        </w:rPr>
        <w:t>标准审查</w:t>
      </w:r>
    </w:p>
    <w:p>
      <w:pPr>
        <w:keepNext w:val="0"/>
        <w:keepLines w:val="0"/>
        <w:pageBreakBefore w:val="0"/>
        <w:numPr>
          <w:ilvl w:val="0"/>
          <w:numId w:val="0"/>
        </w:numPr>
        <w:kinsoku/>
        <w:wordWrap/>
        <w:overflowPunct/>
        <w:topLinePunct w:val="0"/>
        <w:bidi w:val="0"/>
        <w:adjustRightInd/>
        <w:snapToGrid/>
        <w:spacing w:line="440" w:lineRule="exact"/>
        <w:ind w:firstLine="480" w:firstLineChars="200"/>
        <w:textAlignment w:val="auto"/>
        <w:rPr>
          <w:rFonts w:hint="default" w:eastAsia="仿宋_GB2312"/>
          <w:bCs/>
          <w:color w:val="auto"/>
          <w:sz w:val="24"/>
          <w:lang w:val="en-US" w:eastAsia="zh-CN"/>
        </w:rPr>
      </w:pPr>
      <w:r>
        <w:rPr>
          <w:rFonts w:hint="eastAsia" w:eastAsia="仿宋_GB2312"/>
          <w:bCs/>
          <w:color w:val="auto"/>
          <w:sz w:val="24"/>
          <w:lang w:val="en-US" w:eastAsia="zh-CN"/>
        </w:rPr>
        <w:t>2024年4月21日，山西省农业标准化技术委员会组织有关专家召开标准审查会议，对修订后的《</w:t>
      </w:r>
      <w:r>
        <w:rPr>
          <w:rFonts w:hint="eastAsia" w:ascii="Times New Roman" w:hAnsi="Times New Roman" w:eastAsia="仿宋_GB2312" w:cs="Times New Roman"/>
          <w:bCs/>
          <w:color w:val="auto"/>
          <w:sz w:val="24"/>
          <w:lang w:val="en-US" w:eastAsia="zh-CN"/>
        </w:rPr>
        <w:t>西瓜集约化育苗生产技术规程</w:t>
      </w:r>
      <w:r>
        <w:rPr>
          <w:rFonts w:hint="eastAsia" w:eastAsia="仿宋_GB2312"/>
          <w:bCs/>
          <w:color w:val="auto"/>
          <w:sz w:val="24"/>
          <w:lang w:val="en-US" w:eastAsia="zh-CN"/>
        </w:rPr>
        <w:t>》征求意见稿，进行标准审查。与会专家提出“更改术语和定义”，删除“包装、标志和运输”的内容”，修改“生产档案”为“育苗档案”等修改意见。按照评审意见进一步完善修改了</w:t>
      </w:r>
      <w:bookmarkStart w:id="1" w:name="_GoBack"/>
      <w:bookmarkEnd w:id="1"/>
      <w:r>
        <w:rPr>
          <w:rFonts w:hint="eastAsia" w:eastAsia="仿宋_GB2312"/>
          <w:bCs/>
          <w:color w:val="auto"/>
          <w:sz w:val="24"/>
          <w:lang w:val="en-US" w:eastAsia="zh-CN"/>
        </w:rPr>
        <w:t>《</w:t>
      </w:r>
      <w:r>
        <w:rPr>
          <w:rFonts w:hint="eastAsia" w:ascii="Times New Roman" w:hAnsi="Times New Roman" w:eastAsia="仿宋_GB2312" w:cs="Times New Roman"/>
          <w:bCs/>
          <w:color w:val="auto"/>
          <w:sz w:val="24"/>
          <w:lang w:val="en-US" w:eastAsia="zh-CN"/>
        </w:rPr>
        <w:t>西瓜集约化育苗生产技术规程</w:t>
      </w:r>
      <w:r>
        <w:rPr>
          <w:rFonts w:hint="eastAsia" w:eastAsia="仿宋_GB2312"/>
          <w:bCs/>
          <w:color w:val="auto"/>
          <w:sz w:val="24"/>
          <w:lang w:val="en-US" w:eastAsia="zh-CN"/>
        </w:rPr>
        <w:t>》。</w:t>
      </w:r>
    </w:p>
    <w:p>
      <w:pPr>
        <w:keepNext w:val="0"/>
        <w:keepLines w:val="0"/>
        <w:pageBreakBefore w:val="0"/>
        <w:kinsoku/>
        <w:wordWrap/>
        <w:overflowPunct/>
        <w:topLinePunct w:val="0"/>
        <w:bidi w:val="0"/>
        <w:adjustRightInd/>
        <w:snapToGrid/>
        <w:spacing w:line="440" w:lineRule="exact"/>
        <w:ind w:firstLine="480" w:firstLineChars="200"/>
        <w:textAlignment w:val="auto"/>
        <w:outlineLvl w:val="0"/>
        <w:rPr>
          <w:rFonts w:ascii="黑体" w:eastAsia="黑体"/>
          <w:sz w:val="24"/>
        </w:rPr>
      </w:pPr>
      <w:r>
        <w:rPr>
          <w:rFonts w:hint="eastAsia" w:ascii="黑体" w:eastAsia="黑体"/>
          <w:color w:val="auto"/>
          <w:sz w:val="24"/>
        </w:rPr>
        <w:t>四</w:t>
      </w:r>
      <w:r>
        <w:rPr>
          <w:rFonts w:ascii="黑体" w:eastAsia="黑体"/>
          <w:color w:val="auto"/>
          <w:sz w:val="24"/>
        </w:rPr>
        <w:t>、</w:t>
      </w:r>
      <w:r>
        <w:rPr>
          <w:rFonts w:hint="eastAsia" w:ascii="黑体" w:eastAsia="黑体"/>
          <w:color w:val="auto"/>
          <w:sz w:val="24"/>
          <w:lang w:eastAsia="zh-CN"/>
        </w:rPr>
        <w:t>制修</w:t>
      </w:r>
      <w:r>
        <w:rPr>
          <w:rFonts w:ascii="黑体" w:eastAsia="黑体"/>
          <w:color w:val="auto"/>
          <w:sz w:val="24"/>
        </w:rPr>
        <w:t>订标准的原则和依据，与现行法律、法规、标准</w:t>
      </w:r>
      <w:r>
        <w:rPr>
          <w:rFonts w:ascii="黑体" w:eastAsia="黑体"/>
          <w:sz w:val="24"/>
        </w:rPr>
        <w:t>的关系</w:t>
      </w:r>
    </w:p>
    <w:p>
      <w:pPr>
        <w:keepNext w:val="0"/>
        <w:keepLines w:val="0"/>
        <w:pageBreakBefore w:val="0"/>
        <w:kinsoku/>
        <w:wordWrap/>
        <w:overflowPunct/>
        <w:topLinePunct w:val="0"/>
        <w:bidi w:val="0"/>
        <w:adjustRightInd/>
        <w:snapToGrid/>
        <w:spacing w:line="440" w:lineRule="exact"/>
        <w:ind w:firstLine="480" w:firstLineChars="200"/>
        <w:textAlignment w:val="auto"/>
        <w:rPr>
          <w:rFonts w:hint="eastAsia" w:ascii="楷体_GB2312" w:hAnsi="楷体_GB2312" w:eastAsia="楷体_GB2312" w:cs="楷体_GB2312"/>
          <w:bCs/>
          <w:sz w:val="24"/>
          <w:lang w:val="en-US" w:eastAsia="zh-CN"/>
        </w:rPr>
      </w:pPr>
      <w:r>
        <w:rPr>
          <w:rFonts w:hint="eastAsia" w:ascii="楷体_GB2312" w:hAnsi="楷体_GB2312" w:eastAsia="楷体_GB2312" w:cs="楷体_GB2312"/>
          <w:bCs/>
          <w:sz w:val="24"/>
          <w:lang w:val="en-US" w:eastAsia="zh-CN"/>
        </w:rPr>
        <w:t>（一）制定标准的原则和依据</w:t>
      </w:r>
    </w:p>
    <w:p>
      <w:pPr>
        <w:keepNext w:val="0"/>
        <w:keepLines w:val="0"/>
        <w:pageBreakBefore w:val="0"/>
        <w:kinsoku/>
        <w:wordWrap/>
        <w:overflowPunct/>
        <w:topLinePunct w:val="0"/>
        <w:bidi w:val="0"/>
        <w:adjustRightInd/>
        <w:snapToGrid/>
        <w:spacing w:line="440" w:lineRule="exact"/>
        <w:ind w:firstLine="480" w:firstLineChars="200"/>
        <w:textAlignment w:val="auto"/>
        <w:rPr>
          <w:rFonts w:hint="eastAsia" w:eastAsia="仿宋_GB2312"/>
          <w:bCs/>
          <w:sz w:val="24"/>
          <w:lang w:val="en-US" w:eastAsia="zh-CN"/>
        </w:rPr>
      </w:pPr>
      <w:r>
        <w:rPr>
          <w:rFonts w:hint="eastAsia" w:eastAsia="仿宋_GB2312"/>
          <w:bCs/>
          <w:sz w:val="24"/>
          <w:lang w:val="en-US" w:eastAsia="zh-CN"/>
        </w:rPr>
        <w:t>1.科学性。本标准的确立，综合考虑了山西省西瓜生产现状，以高效生产西瓜秧苗为目标，结合目前试验研究和实践经验，并查阅大量资料和走访调研，通过多次试验验证和生产示范，充分保证了标准的科学性。</w:t>
      </w:r>
    </w:p>
    <w:p>
      <w:pPr>
        <w:keepNext w:val="0"/>
        <w:keepLines w:val="0"/>
        <w:pageBreakBefore w:val="0"/>
        <w:kinsoku/>
        <w:wordWrap/>
        <w:overflowPunct/>
        <w:topLinePunct w:val="0"/>
        <w:bidi w:val="0"/>
        <w:adjustRightInd/>
        <w:snapToGrid/>
        <w:spacing w:line="440" w:lineRule="exact"/>
        <w:ind w:firstLine="480" w:firstLineChars="200"/>
        <w:textAlignment w:val="auto"/>
        <w:rPr>
          <w:rFonts w:hint="eastAsia" w:eastAsia="仿宋_GB2312"/>
          <w:bCs/>
          <w:sz w:val="24"/>
          <w:lang w:val="en-US" w:eastAsia="zh-CN"/>
        </w:rPr>
      </w:pPr>
      <w:r>
        <w:rPr>
          <w:rFonts w:hint="eastAsia" w:eastAsia="仿宋_GB2312"/>
          <w:bCs/>
          <w:sz w:val="24"/>
          <w:lang w:val="en-US" w:eastAsia="zh-CN"/>
        </w:rPr>
        <w:t>2.适用性。本标准的编写充分考虑了我省西瓜生产现状，结合各地蔬菜集约化育苗的习惯，从育苗设施准备、种子处理、播种、苗期管理、病虫害防治、成苗质量要求等环节，提出适宜我省应用的西瓜集约化育苗模式，具有适用性。</w:t>
      </w:r>
    </w:p>
    <w:p>
      <w:pPr>
        <w:keepNext w:val="0"/>
        <w:keepLines w:val="0"/>
        <w:pageBreakBefore w:val="0"/>
        <w:kinsoku/>
        <w:wordWrap/>
        <w:overflowPunct/>
        <w:topLinePunct w:val="0"/>
        <w:bidi w:val="0"/>
        <w:adjustRightInd/>
        <w:snapToGrid/>
        <w:spacing w:line="440" w:lineRule="exact"/>
        <w:ind w:firstLine="480" w:firstLineChars="200"/>
        <w:textAlignment w:val="auto"/>
        <w:rPr>
          <w:rFonts w:hint="eastAsia" w:eastAsia="仿宋_GB2312"/>
          <w:bCs/>
          <w:sz w:val="24"/>
          <w:lang w:val="en-US" w:eastAsia="zh-CN"/>
        </w:rPr>
      </w:pPr>
      <w:r>
        <w:rPr>
          <w:rFonts w:hint="eastAsia" w:eastAsia="仿宋_GB2312"/>
          <w:bCs/>
          <w:sz w:val="24"/>
          <w:lang w:val="en-US" w:eastAsia="zh-CN"/>
        </w:rPr>
        <w:t>3.协调性。在本标准的制定过程中，注重与已发布的标准进行协调，确保我省目前未发布过同类地方标准，同时注意对最新相关标准进行引用，有效提高标准的协调性。</w:t>
      </w:r>
    </w:p>
    <w:p>
      <w:pPr>
        <w:keepNext w:val="0"/>
        <w:keepLines w:val="0"/>
        <w:pageBreakBefore w:val="0"/>
        <w:kinsoku/>
        <w:wordWrap/>
        <w:overflowPunct/>
        <w:topLinePunct w:val="0"/>
        <w:bidi w:val="0"/>
        <w:adjustRightInd/>
        <w:snapToGrid/>
        <w:spacing w:line="440" w:lineRule="exact"/>
        <w:ind w:firstLine="480" w:firstLineChars="200"/>
        <w:textAlignment w:val="auto"/>
        <w:rPr>
          <w:rFonts w:hint="eastAsia" w:eastAsia="仿宋_GB2312"/>
          <w:bCs/>
          <w:sz w:val="24"/>
          <w:lang w:val="en-US" w:eastAsia="zh-CN"/>
        </w:rPr>
      </w:pPr>
      <w:r>
        <w:rPr>
          <w:rFonts w:hint="eastAsia" w:eastAsia="仿宋_GB2312"/>
          <w:bCs/>
          <w:sz w:val="24"/>
          <w:lang w:val="en-US" w:eastAsia="zh-CN"/>
        </w:rPr>
        <w:t>4.规范性。起草本标准时，严格遵守与标准制定有关的基础标准及相关法律法规。</w:t>
      </w:r>
    </w:p>
    <w:p>
      <w:pPr>
        <w:keepNext w:val="0"/>
        <w:keepLines w:val="0"/>
        <w:pageBreakBefore w:val="0"/>
        <w:kinsoku/>
        <w:wordWrap/>
        <w:overflowPunct/>
        <w:topLinePunct w:val="0"/>
        <w:bidi w:val="0"/>
        <w:adjustRightInd/>
        <w:snapToGrid/>
        <w:spacing w:line="440" w:lineRule="exact"/>
        <w:ind w:firstLine="480" w:firstLineChars="200"/>
        <w:textAlignment w:val="auto"/>
        <w:rPr>
          <w:rFonts w:hint="eastAsia" w:eastAsia="仿宋_GB2312"/>
          <w:bCs/>
          <w:sz w:val="24"/>
          <w:lang w:val="en-US" w:eastAsia="zh-CN"/>
        </w:rPr>
      </w:pPr>
      <w:r>
        <w:rPr>
          <w:rFonts w:hint="eastAsia" w:eastAsia="仿宋_GB2312"/>
          <w:bCs/>
          <w:sz w:val="24"/>
          <w:lang w:val="en-US" w:eastAsia="zh-CN"/>
        </w:rPr>
        <w:t>本标准的制定，充分依据国家和省级农业政策引导，以及行业内已经出台的相关标准，依托项目研究和应用推广的成果和实践经验，本着科学严谨的态度，经过认真学习、多方验证、反复研讨并充分征求了相关部门和相关专家的意见制定了本标准。</w:t>
      </w:r>
    </w:p>
    <w:p>
      <w:pPr>
        <w:keepNext w:val="0"/>
        <w:keepLines w:val="0"/>
        <w:pageBreakBefore w:val="0"/>
        <w:kinsoku/>
        <w:wordWrap/>
        <w:overflowPunct/>
        <w:topLinePunct w:val="0"/>
        <w:bidi w:val="0"/>
        <w:adjustRightInd/>
        <w:snapToGrid/>
        <w:spacing w:line="440" w:lineRule="exact"/>
        <w:ind w:firstLine="480" w:firstLineChars="200"/>
        <w:textAlignment w:val="auto"/>
        <w:rPr>
          <w:rFonts w:hint="eastAsia" w:ascii="楷体_GB2312" w:hAnsi="楷体_GB2312" w:eastAsia="楷体_GB2312" w:cs="楷体_GB2312"/>
          <w:bCs/>
          <w:sz w:val="24"/>
          <w:lang w:val="en-US" w:eastAsia="zh-CN"/>
        </w:rPr>
      </w:pPr>
      <w:r>
        <w:rPr>
          <w:rFonts w:hint="eastAsia" w:ascii="楷体_GB2312" w:hAnsi="楷体_GB2312" w:eastAsia="楷体_GB2312" w:cs="楷体_GB2312"/>
          <w:bCs/>
          <w:sz w:val="24"/>
          <w:lang w:val="en-US" w:eastAsia="zh-CN"/>
        </w:rPr>
        <w:t>（二）与现行法律、法规、标准的关系</w:t>
      </w:r>
    </w:p>
    <w:p>
      <w:pPr>
        <w:keepNext w:val="0"/>
        <w:keepLines w:val="0"/>
        <w:pageBreakBefore w:val="0"/>
        <w:kinsoku/>
        <w:wordWrap/>
        <w:overflowPunct/>
        <w:topLinePunct w:val="0"/>
        <w:bidi w:val="0"/>
        <w:adjustRightInd/>
        <w:snapToGrid/>
        <w:spacing w:line="440" w:lineRule="exact"/>
        <w:ind w:firstLine="480" w:firstLineChars="200"/>
        <w:textAlignment w:val="auto"/>
        <w:rPr>
          <w:rFonts w:hint="eastAsia" w:eastAsia="仿宋_GB2312"/>
          <w:bCs/>
          <w:sz w:val="24"/>
          <w:lang w:val="en-US" w:eastAsia="zh-CN"/>
        </w:rPr>
      </w:pPr>
      <w:r>
        <w:rPr>
          <w:rFonts w:hint="eastAsia" w:eastAsia="仿宋_GB2312"/>
          <w:bCs/>
          <w:sz w:val="24"/>
          <w:lang w:val="en-US" w:eastAsia="zh-CN"/>
        </w:rPr>
        <w:t>本标准的制定遵守国家现行法律、法规，严格按照《中华人民共和国标准化法》、《中华人民共和国农业法》、《中华人民共和国农业技术推广法》等法律和国家技术监督局《农业标准化管理办法》等规章执行。与现行法律、法规和强制性标准没有冲突。</w:t>
      </w:r>
    </w:p>
    <w:p>
      <w:pPr>
        <w:keepNext w:val="0"/>
        <w:keepLines w:val="0"/>
        <w:pageBreakBefore w:val="0"/>
        <w:kinsoku/>
        <w:wordWrap/>
        <w:overflowPunct/>
        <w:topLinePunct w:val="0"/>
        <w:bidi w:val="0"/>
        <w:adjustRightInd/>
        <w:snapToGrid/>
        <w:spacing w:line="440" w:lineRule="exact"/>
        <w:ind w:firstLine="480" w:firstLineChars="200"/>
        <w:textAlignment w:val="auto"/>
        <w:outlineLvl w:val="0"/>
        <w:rPr>
          <w:rFonts w:ascii="黑体" w:eastAsia="黑体"/>
          <w:sz w:val="24"/>
        </w:rPr>
      </w:pPr>
      <w:r>
        <w:rPr>
          <w:rFonts w:hint="eastAsia" w:ascii="黑体" w:eastAsia="黑体"/>
          <w:sz w:val="24"/>
        </w:rPr>
        <w:t>五</w:t>
      </w:r>
      <w:r>
        <w:rPr>
          <w:rFonts w:ascii="黑体" w:eastAsia="黑体"/>
          <w:sz w:val="24"/>
        </w:rPr>
        <w:t>、主要条款的说明，主要技术指标、参数、试验验证的分析、综合论述</w:t>
      </w:r>
    </w:p>
    <w:p>
      <w:pPr>
        <w:keepNext w:val="0"/>
        <w:keepLines w:val="0"/>
        <w:pageBreakBefore w:val="0"/>
        <w:kinsoku/>
        <w:wordWrap/>
        <w:overflowPunct/>
        <w:topLinePunct w:val="0"/>
        <w:bidi w:val="0"/>
        <w:adjustRightInd/>
        <w:snapToGrid/>
        <w:spacing w:line="440" w:lineRule="exact"/>
        <w:ind w:firstLine="480" w:firstLineChars="200"/>
        <w:textAlignment w:val="auto"/>
        <w:rPr>
          <w:rFonts w:hint="eastAsia" w:eastAsia="仿宋_GB2312"/>
          <w:bCs/>
          <w:sz w:val="24"/>
          <w:lang w:eastAsia="zh-CN"/>
        </w:rPr>
      </w:pPr>
      <w:r>
        <w:rPr>
          <w:rFonts w:hint="eastAsia" w:eastAsia="仿宋_GB2312"/>
          <w:bCs/>
          <w:sz w:val="24"/>
          <w:lang w:eastAsia="zh-CN"/>
        </w:rPr>
        <w:t>标准起草组以“合法性、安全性、适应性、协调性和先进性”为修订原则，以文本结构更加合理、表述更加准确、技术指标更加科学为修订目标，从</w:t>
      </w:r>
      <w:r>
        <w:rPr>
          <w:rFonts w:hint="eastAsia" w:eastAsia="仿宋_GB2312"/>
          <w:bCs/>
          <w:sz w:val="24"/>
          <w:lang w:val="en-US" w:eastAsia="zh-CN"/>
        </w:rPr>
        <w:t>文本结构、</w:t>
      </w:r>
      <w:r>
        <w:rPr>
          <w:rFonts w:hint="eastAsia" w:eastAsia="仿宋_GB2312"/>
          <w:bCs/>
          <w:sz w:val="24"/>
          <w:lang w:eastAsia="zh-CN"/>
        </w:rPr>
        <w:t>个方面对文本进行了修订，其中：</w:t>
      </w:r>
    </w:p>
    <w:p>
      <w:pPr>
        <w:keepNext w:val="0"/>
        <w:keepLines w:val="0"/>
        <w:pageBreakBefore w:val="0"/>
        <w:numPr>
          <w:ilvl w:val="0"/>
          <w:numId w:val="0"/>
        </w:numPr>
        <w:kinsoku/>
        <w:wordWrap/>
        <w:overflowPunct/>
        <w:topLinePunct w:val="0"/>
        <w:bidi w:val="0"/>
        <w:adjustRightInd/>
        <w:snapToGrid/>
        <w:spacing w:line="440" w:lineRule="exact"/>
        <w:ind w:firstLine="480" w:firstLineChars="200"/>
        <w:textAlignment w:val="auto"/>
        <w:rPr>
          <w:rFonts w:hint="eastAsia" w:eastAsia="仿宋_GB2312"/>
          <w:bCs/>
          <w:sz w:val="24"/>
          <w:lang w:val="en-US" w:eastAsia="zh-CN"/>
        </w:rPr>
      </w:pPr>
      <w:r>
        <w:rPr>
          <w:rFonts w:hint="eastAsia" w:eastAsia="仿宋_GB2312"/>
          <w:bCs/>
          <w:sz w:val="24"/>
          <w:lang w:val="en-US" w:eastAsia="zh-CN"/>
        </w:rPr>
        <w:t>1、</w:t>
      </w:r>
      <w:r>
        <w:rPr>
          <w:rFonts w:hint="eastAsia" w:eastAsia="仿宋_GB2312"/>
          <w:bCs/>
          <w:sz w:val="24"/>
        </w:rPr>
        <w:t>涉及</w:t>
      </w:r>
      <w:r>
        <w:rPr>
          <w:rFonts w:hint="eastAsia" w:eastAsia="仿宋_GB2312"/>
          <w:bCs/>
          <w:sz w:val="24"/>
          <w:lang w:eastAsia="zh-CN"/>
        </w:rPr>
        <w:t>结构性调整的主要有</w:t>
      </w:r>
      <w:r>
        <w:rPr>
          <w:rFonts w:hint="eastAsia" w:eastAsia="仿宋_GB2312"/>
          <w:bCs/>
          <w:sz w:val="24"/>
          <w:lang w:val="en-US" w:eastAsia="zh-CN"/>
        </w:rPr>
        <w:t>3项：</w:t>
      </w:r>
    </w:p>
    <w:p>
      <w:pPr>
        <w:keepNext w:val="0"/>
        <w:keepLines w:val="0"/>
        <w:pageBreakBefore w:val="0"/>
        <w:numPr>
          <w:ilvl w:val="0"/>
          <w:numId w:val="0"/>
        </w:numPr>
        <w:kinsoku/>
        <w:wordWrap/>
        <w:overflowPunct/>
        <w:topLinePunct w:val="0"/>
        <w:bidi w:val="0"/>
        <w:adjustRightInd/>
        <w:snapToGrid/>
        <w:spacing w:line="440" w:lineRule="exact"/>
        <w:ind w:firstLine="480" w:firstLineChars="200"/>
        <w:textAlignment w:val="auto"/>
        <w:rPr>
          <w:rFonts w:hint="eastAsia" w:eastAsia="仿宋_GB2312"/>
          <w:bCs/>
          <w:sz w:val="24"/>
          <w:lang w:val="en-US" w:eastAsia="zh-CN"/>
        </w:rPr>
      </w:pPr>
      <w:r>
        <w:rPr>
          <w:rFonts w:hint="eastAsia" w:eastAsia="仿宋_GB2312"/>
          <w:bCs/>
          <w:sz w:val="24"/>
          <w:lang w:val="en-US" w:eastAsia="zh-CN"/>
        </w:rPr>
        <w:t>（1）</w:t>
      </w:r>
      <w:r>
        <w:rPr>
          <w:rFonts w:hint="eastAsia" w:eastAsia="仿宋_GB2312"/>
          <w:bCs/>
          <w:sz w:val="24"/>
          <w:lang w:eastAsia="zh-CN"/>
        </w:rPr>
        <w:t>增加了“</w:t>
      </w:r>
      <w:r>
        <w:rPr>
          <w:rFonts w:hint="eastAsia" w:eastAsia="仿宋_GB2312"/>
          <w:bCs/>
          <w:sz w:val="24"/>
          <w:lang w:val="en-US" w:eastAsia="zh-CN"/>
        </w:rPr>
        <w:t>7苗期管理</w:t>
      </w:r>
      <w:r>
        <w:rPr>
          <w:rFonts w:hint="eastAsia" w:eastAsia="仿宋_GB2312"/>
          <w:bCs/>
          <w:sz w:val="24"/>
          <w:lang w:eastAsia="zh-CN"/>
        </w:rPr>
        <w:t>”</w:t>
      </w:r>
      <w:r>
        <w:rPr>
          <w:rFonts w:hint="eastAsia" w:eastAsia="仿宋_GB2312"/>
          <w:bCs/>
          <w:sz w:val="24"/>
          <w:lang w:val="en-US" w:eastAsia="zh-CN"/>
        </w:rPr>
        <w:t>。修订原因：原标准对西瓜嫁接育苗管理技术表述比较全面，而对非嫁接育苗中温度、湿度、光照、花芽分化调控等关键技术表述较少。鉴于目前我省西瓜集约化育苗中嫁接育苗和非嫁接育苗均在生产中大量应用，故增加了对非嫁接育苗管理技术章节，适应生产需求。</w:t>
      </w:r>
    </w:p>
    <w:p>
      <w:pPr>
        <w:keepNext w:val="0"/>
        <w:keepLines w:val="0"/>
        <w:pageBreakBefore w:val="0"/>
        <w:numPr>
          <w:ilvl w:val="0"/>
          <w:numId w:val="0"/>
        </w:numPr>
        <w:kinsoku/>
        <w:wordWrap/>
        <w:overflowPunct/>
        <w:topLinePunct w:val="0"/>
        <w:bidi w:val="0"/>
        <w:adjustRightInd/>
        <w:snapToGrid/>
        <w:spacing w:line="440" w:lineRule="exact"/>
        <w:ind w:firstLine="480" w:firstLineChars="200"/>
        <w:textAlignment w:val="auto"/>
        <w:rPr>
          <w:rFonts w:hint="eastAsia" w:eastAsia="仿宋_GB2312"/>
          <w:bCs/>
          <w:sz w:val="24"/>
          <w:lang w:val="en-US" w:eastAsia="zh-CN"/>
        </w:rPr>
      </w:pPr>
      <w:r>
        <w:rPr>
          <w:rFonts w:hint="eastAsia" w:eastAsia="仿宋_GB2312"/>
          <w:bCs/>
          <w:sz w:val="24"/>
          <w:lang w:val="en-US" w:eastAsia="zh-CN"/>
        </w:rPr>
        <w:t>（2）删除了“原文件8.3.2双断根插接法”。修订原因：鉴于双断根嫁接法在我省西瓜育苗中普及面不广，且熟练掌握该技术的人员较少，为使该标准更加适应我省西瓜生产实际，故删除了此部分内容。</w:t>
      </w:r>
    </w:p>
    <w:p>
      <w:pPr>
        <w:keepNext w:val="0"/>
        <w:keepLines w:val="0"/>
        <w:pageBreakBefore w:val="0"/>
        <w:numPr>
          <w:ilvl w:val="0"/>
          <w:numId w:val="0"/>
        </w:numPr>
        <w:kinsoku/>
        <w:wordWrap/>
        <w:overflowPunct/>
        <w:topLinePunct w:val="0"/>
        <w:bidi w:val="0"/>
        <w:adjustRightInd/>
        <w:snapToGrid/>
        <w:spacing w:line="440" w:lineRule="exact"/>
        <w:ind w:firstLine="480" w:firstLineChars="200"/>
        <w:textAlignment w:val="auto"/>
        <w:rPr>
          <w:rFonts w:hint="eastAsia" w:eastAsia="仿宋_GB2312"/>
          <w:bCs/>
          <w:sz w:val="24"/>
          <w:lang w:val="en-US" w:eastAsia="zh-CN"/>
        </w:rPr>
      </w:pPr>
      <w:r>
        <w:rPr>
          <w:rFonts w:hint="eastAsia" w:eastAsia="仿宋_GB2312"/>
          <w:bCs/>
          <w:sz w:val="24"/>
          <w:lang w:val="en-US" w:eastAsia="zh-CN"/>
        </w:rPr>
        <w:t>（3）增加了“</w:t>
      </w:r>
      <w:bookmarkStart w:id="0" w:name="_Toc30863"/>
      <w:r>
        <w:rPr>
          <w:rFonts w:hint="eastAsia" w:eastAsia="仿宋_GB2312"/>
          <w:bCs/>
          <w:sz w:val="24"/>
          <w:lang w:val="en-US" w:eastAsia="zh-CN"/>
        </w:rPr>
        <w:t>9.3化学防治</w:t>
      </w:r>
      <w:bookmarkEnd w:id="0"/>
      <w:r>
        <w:rPr>
          <w:rFonts w:hint="eastAsia" w:eastAsia="仿宋_GB2312"/>
          <w:bCs/>
          <w:sz w:val="24"/>
          <w:lang w:val="en-US" w:eastAsia="zh-CN"/>
        </w:rPr>
        <w:t>”。修订原因：在瓜类集约化育苗过程中，因育苗环境、管理水平等原因，时常有猝倒病、霜霉病和粉虱、蓟马等虫害危害，原文件中对防治办法未进行详细说明。增加此部分内容，可进一步体现西瓜集约化育苗技术的完整性，指导生产实际。</w:t>
      </w:r>
    </w:p>
    <w:p>
      <w:pPr>
        <w:keepNext w:val="0"/>
        <w:keepLines w:val="0"/>
        <w:pageBreakBefore w:val="0"/>
        <w:numPr>
          <w:ilvl w:val="0"/>
          <w:numId w:val="0"/>
        </w:numPr>
        <w:kinsoku/>
        <w:wordWrap/>
        <w:overflowPunct/>
        <w:topLinePunct w:val="0"/>
        <w:bidi w:val="0"/>
        <w:adjustRightInd/>
        <w:snapToGrid/>
        <w:spacing w:line="440" w:lineRule="exact"/>
        <w:ind w:firstLine="480" w:firstLineChars="200"/>
        <w:textAlignment w:val="auto"/>
        <w:rPr>
          <w:rFonts w:hint="default" w:eastAsia="仿宋_GB2312"/>
          <w:bCs/>
          <w:sz w:val="24"/>
          <w:lang w:val="en-US" w:eastAsia="zh-CN"/>
        </w:rPr>
      </w:pPr>
      <w:r>
        <w:rPr>
          <w:rFonts w:hint="eastAsia" w:eastAsia="仿宋_GB2312"/>
          <w:bCs/>
          <w:sz w:val="24"/>
          <w:lang w:val="en-US" w:eastAsia="zh-CN"/>
        </w:rPr>
        <w:t>2、涉及表述与编辑性修改的主要有2项：</w:t>
      </w:r>
    </w:p>
    <w:p>
      <w:pPr>
        <w:pStyle w:val="21"/>
        <w:keepNext w:val="0"/>
        <w:keepLines w:val="0"/>
        <w:pageBreakBefore w:val="0"/>
        <w:kinsoku/>
        <w:wordWrap/>
        <w:overflowPunct/>
        <w:topLinePunct w:val="0"/>
        <w:bidi w:val="0"/>
        <w:adjustRightInd/>
        <w:snapToGrid/>
        <w:spacing w:line="440" w:lineRule="exact"/>
        <w:textAlignment w:val="auto"/>
        <w:rPr>
          <w:rFonts w:hint="eastAsia" w:ascii="Times New Roman" w:hAnsi="Times New Roman" w:eastAsia="仿宋_GB2312" w:cs="Times New Roman"/>
          <w:bCs/>
          <w:kern w:val="2"/>
          <w:sz w:val="24"/>
          <w:szCs w:val="24"/>
          <w:lang w:val="en-US" w:eastAsia="zh-CN" w:bidi="ar-SA"/>
        </w:rPr>
      </w:pPr>
      <w:r>
        <w:rPr>
          <w:rFonts w:hint="eastAsia" w:ascii="Times New Roman" w:hAnsi="Times New Roman" w:eastAsia="仿宋_GB2312" w:cs="Times New Roman"/>
          <w:bCs/>
          <w:kern w:val="2"/>
          <w:sz w:val="24"/>
          <w:szCs w:val="24"/>
          <w:lang w:val="en-US" w:eastAsia="zh-CN" w:bidi="ar-SA"/>
        </w:rPr>
        <w:t>（1）更改了引用文件中“NY 5010 无公害食品 蔬菜产地环境条件”和“NY 5111 无公害食品西瓜生产技术规程”。修订原因：</w:t>
      </w:r>
      <w:r>
        <w:rPr>
          <w:rFonts w:hint="eastAsia" w:ascii="Times New Roman" w:eastAsia="仿宋_GB2312" w:cs="Times New Roman"/>
          <w:bCs/>
          <w:kern w:val="2"/>
          <w:sz w:val="24"/>
          <w:szCs w:val="24"/>
          <w:lang w:val="en-US" w:eastAsia="zh-CN" w:bidi="ar-SA"/>
        </w:rPr>
        <w:t>此两项文件已经废止</w:t>
      </w:r>
      <w:r>
        <w:rPr>
          <w:rFonts w:hint="eastAsia" w:ascii="Times New Roman" w:hAnsi="Times New Roman" w:eastAsia="仿宋_GB2312" w:cs="Times New Roman"/>
          <w:bCs/>
          <w:kern w:val="2"/>
          <w:sz w:val="24"/>
          <w:szCs w:val="24"/>
          <w:lang w:val="en-US" w:eastAsia="zh-CN" w:bidi="ar-SA"/>
        </w:rPr>
        <w:t>。</w:t>
      </w:r>
    </w:p>
    <w:p>
      <w:pPr>
        <w:keepNext w:val="0"/>
        <w:keepLines w:val="0"/>
        <w:pageBreakBefore w:val="0"/>
        <w:numPr>
          <w:ilvl w:val="0"/>
          <w:numId w:val="0"/>
        </w:numPr>
        <w:kinsoku/>
        <w:wordWrap/>
        <w:overflowPunct/>
        <w:topLinePunct w:val="0"/>
        <w:bidi w:val="0"/>
        <w:adjustRightInd/>
        <w:snapToGrid/>
        <w:spacing w:line="440" w:lineRule="exact"/>
        <w:ind w:firstLine="480" w:firstLineChars="200"/>
        <w:textAlignment w:val="auto"/>
        <w:rPr>
          <w:rFonts w:hint="default" w:eastAsia="仿宋_GB2312"/>
          <w:bCs/>
          <w:sz w:val="24"/>
          <w:lang w:val="en-US" w:eastAsia="zh-CN"/>
        </w:rPr>
      </w:pPr>
      <w:r>
        <w:rPr>
          <w:rFonts w:hint="eastAsia" w:eastAsia="仿宋_GB2312"/>
          <w:bCs/>
          <w:sz w:val="24"/>
          <w:lang w:eastAsia="zh-CN"/>
        </w:rPr>
        <w:t>（</w:t>
      </w:r>
      <w:r>
        <w:rPr>
          <w:rFonts w:hint="eastAsia" w:eastAsia="仿宋_GB2312"/>
          <w:bCs/>
          <w:sz w:val="24"/>
          <w:lang w:val="en-US" w:eastAsia="zh-CN"/>
        </w:rPr>
        <w:t>2</w:t>
      </w:r>
      <w:r>
        <w:rPr>
          <w:rFonts w:hint="eastAsia" w:eastAsia="仿宋_GB2312"/>
          <w:bCs/>
          <w:sz w:val="24"/>
          <w:lang w:eastAsia="zh-CN"/>
        </w:rPr>
        <w:t>）更改了原文件中</w:t>
      </w:r>
      <w:r>
        <w:rPr>
          <w:rFonts w:hint="eastAsia" w:eastAsia="仿宋_GB2312"/>
          <w:bCs/>
          <w:sz w:val="24"/>
          <w:lang w:val="en-US" w:eastAsia="zh-CN"/>
        </w:rPr>
        <w:t>“6.4育苗穴盘”中有关表述，并将此部分内容与5.4.1进行合并</w:t>
      </w:r>
      <w:r>
        <w:rPr>
          <w:rFonts w:hint="eastAsia" w:eastAsia="仿宋_GB2312"/>
          <w:bCs/>
          <w:sz w:val="24"/>
          <w:lang w:eastAsia="zh-CN"/>
        </w:rPr>
        <w:t>。</w:t>
      </w:r>
      <w:r>
        <w:rPr>
          <w:rFonts w:hint="eastAsia" w:eastAsia="仿宋_GB2312"/>
          <w:bCs/>
          <w:sz w:val="24"/>
          <w:lang w:val="en-US" w:eastAsia="zh-CN"/>
        </w:rPr>
        <w:t>修</w:t>
      </w:r>
      <w:r>
        <w:rPr>
          <w:rFonts w:hint="eastAsia" w:eastAsia="仿宋_GB2312"/>
          <w:bCs/>
          <w:sz w:val="24"/>
          <w:lang w:eastAsia="zh-CN"/>
        </w:rPr>
        <w:t>订</w:t>
      </w:r>
      <w:r>
        <w:rPr>
          <w:rFonts w:hint="eastAsia" w:eastAsia="仿宋_GB2312"/>
          <w:bCs/>
          <w:sz w:val="24"/>
          <w:lang w:val="en-US" w:eastAsia="zh-CN"/>
        </w:rPr>
        <w:t>原因：内容重复且未分类表述</w:t>
      </w:r>
      <w:r>
        <w:rPr>
          <w:rFonts w:hint="eastAsia" w:eastAsia="仿宋_GB2312"/>
          <w:bCs/>
          <w:sz w:val="24"/>
          <w:lang w:eastAsia="zh-CN"/>
        </w:rPr>
        <w:t>。</w:t>
      </w:r>
    </w:p>
    <w:p>
      <w:pPr>
        <w:keepNext w:val="0"/>
        <w:keepLines w:val="0"/>
        <w:pageBreakBefore w:val="0"/>
        <w:numPr>
          <w:ilvl w:val="0"/>
          <w:numId w:val="0"/>
        </w:numPr>
        <w:kinsoku/>
        <w:wordWrap/>
        <w:overflowPunct/>
        <w:topLinePunct w:val="0"/>
        <w:bidi w:val="0"/>
        <w:adjustRightInd/>
        <w:snapToGrid/>
        <w:spacing w:line="440" w:lineRule="exact"/>
        <w:ind w:firstLine="480" w:firstLineChars="200"/>
        <w:textAlignment w:val="auto"/>
        <w:rPr>
          <w:rFonts w:hint="eastAsia" w:eastAsia="仿宋_GB2312"/>
          <w:bCs/>
          <w:sz w:val="24"/>
        </w:rPr>
      </w:pPr>
      <w:r>
        <w:rPr>
          <w:rFonts w:hint="eastAsia" w:eastAsia="仿宋_GB2312"/>
          <w:bCs/>
          <w:sz w:val="24"/>
          <w:lang w:val="en-US" w:eastAsia="zh-CN"/>
        </w:rPr>
        <w:t>3、涉及</w:t>
      </w:r>
      <w:r>
        <w:rPr>
          <w:rFonts w:hint="eastAsia" w:eastAsia="仿宋_GB2312"/>
          <w:bCs/>
          <w:sz w:val="24"/>
        </w:rPr>
        <w:t>到的技术指标主要有</w:t>
      </w:r>
      <w:r>
        <w:rPr>
          <w:rFonts w:hint="eastAsia" w:eastAsia="仿宋_GB2312"/>
          <w:bCs/>
          <w:sz w:val="24"/>
          <w:lang w:val="en-US" w:eastAsia="zh-CN"/>
        </w:rPr>
        <w:t>3</w:t>
      </w:r>
      <w:r>
        <w:rPr>
          <w:rFonts w:hint="eastAsia" w:eastAsia="仿宋_GB2312"/>
          <w:bCs/>
          <w:sz w:val="24"/>
        </w:rPr>
        <w:t>项：</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eastAsia="仿宋_GB2312"/>
          <w:bCs/>
          <w:sz w:val="24"/>
          <w:lang w:val="en-US" w:eastAsia="zh-CN"/>
        </w:rPr>
      </w:pPr>
      <w:r>
        <w:rPr>
          <w:rFonts w:hint="eastAsia" w:eastAsia="仿宋_GB2312"/>
          <w:bCs/>
          <w:sz w:val="24"/>
          <w:lang w:eastAsia="zh-CN"/>
        </w:rPr>
        <w:t>（</w:t>
      </w:r>
      <w:r>
        <w:rPr>
          <w:rFonts w:hint="eastAsia" w:eastAsia="仿宋_GB2312"/>
          <w:bCs/>
          <w:sz w:val="24"/>
          <w:lang w:val="en-US" w:eastAsia="zh-CN"/>
        </w:rPr>
        <w:t>1</w:t>
      </w:r>
      <w:r>
        <w:rPr>
          <w:rFonts w:hint="eastAsia" w:eastAsia="仿宋_GB2312"/>
          <w:bCs/>
          <w:sz w:val="24"/>
          <w:lang w:eastAsia="zh-CN"/>
        </w:rPr>
        <w:t>）4.</w:t>
      </w:r>
      <w:r>
        <w:rPr>
          <w:rFonts w:hint="eastAsia" w:eastAsia="仿宋_GB2312"/>
          <w:bCs/>
          <w:sz w:val="24"/>
          <w:lang w:val="en-US" w:eastAsia="zh-CN"/>
        </w:rPr>
        <w:t>4</w:t>
      </w:r>
      <w:r>
        <w:rPr>
          <w:rFonts w:hint="eastAsia" w:eastAsia="仿宋_GB2312"/>
          <w:bCs/>
          <w:sz w:val="24"/>
          <w:lang w:eastAsia="zh-CN"/>
        </w:rPr>
        <w:t>基质配制中，增加了春冬季育苗基质选用草炭和蛭石，按2：1的比例配制，夏季基质选用草炭、蛭石和珍珠岩，按3：1：1或2：1：1比例配制。调配后的基质，容重 0.3-0.5 g/cm3，pH值 6.5-7.0，EC 值 0.75-1.50 ms/cm(饱和浸提法)，通气孔隙度20% 左右，持水孔隙度50%</w:t>
      </w:r>
      <w:r>
        <w:rPr>
          <w:rFonts w:hint="eastAsia" w:eastAsia="仿宋_GB2312"/>
          <w:bCs/>
          <w:sz w:val="24"/>
          <w:lang w:val="en-US" w:eastAsia="zh-CN"/>
        </w:rPr>
        <w:t xml:space="preserve"> </w:t>
      </w:r>
      <w:r>
        <w:rPr>
          <w:rFonts w:hint="eastAsia" w:eastAsia="仿宋_GB2312"/>
          <w:bCs/>
          <w:sz w:val="24"/>
          <w:lang w:eastAsia="zh-CN"/>
        </w:rPr>
        <w:t>左右。修订原因</w:t>
      </w:r>
      <w:r>
        <w:rPr>
          <w:rFonts w:hint="eastAsia" w:eastAsia="仿宋_GB2312"/>
          <w:bCs/>
          <w:sz w:val="24"/>
          <w:lang w:val="en-US" w:eastAsia="zh-CN"/>
        </w:rPr>
        <w:t>及试验验证分析</w:t>
      </w:r>
      <w:r>
        <w:rPr>
          <w:rFonts w:hint="eastAsia" w:eastAsia="仿宋_GB2312"/>
          <w:bCs/>
          <w:sz w:val="24"/>
          <w:lang w:eastAsia="zh-CN"/>
        </w:rPr>
        <w:t>：原文件中未对育苗基质各组成成份比例进行详细描述，对生产实际的指导作用不高。该技术数据经</w:t>
      </w:r>
      <w:r>
        <w:rPr>
          <w:rFonts w:hint="eastAsia" w:eastAsia="仿宋_GB2312"/>
          <w:bCs/>
          <w:sz w:val="24"/>
          <w:lang w:val="en-US" w:eastAsia="zh-CN"/>
        </w:rPr>
        <w:t>运城市盐湖区禹润农业发展有限公司、清徐县金土地育苗有限公司技术验证，符合生产实际。</w:t>
      </w:r>
    </w:p>
    <w:p>
      <w:pPr>
        <w:keepNext w:val="0"/>
        <w:keepLines w:val="0"/>
        <w:pageBreakBefore w:val="0"/>
        <w:kinsoku/>
        <w:wordWrap/>
        <w:overflowPunct/>
        <w:topLinePunct w:val="0"/>
        <w:bidi w:val="0"/>
        <w:adjustRightInd/>
        <w:snapToGrid/>
        <w:spacing w:line="440" w:lineRule="exact"/>
        <w:ind w:firstLine="480" w:firstLineChars="200"/>
        <w:textAlignment w:val="auto"/>
        <w:rPr>
          <w:rFonts w:hint="eastAsia" w:ascii="仿宋_GB2312" w:hAnsi="宋体" w:eastAsia="仿宋_GB2312"/>
          <w:sz w:val="24"/>
          <w:lang w:val="en-US" w:eastAsia="zh-CN"/>
        </w:rPr>
      </w:pPr>
      <w:r>
        <w:rPr>
          <w:rFonts w:hint="eastAsia" w:ascii="仿宋_GB2312" w:hAnsi="宋体" w:eastAsia="仿宋_GB2312"/>
          <w:sz w:val="24"/>
          <w:lang w:val="en-US" w:eastAsia="zh-CN"/>
        </w:rPr>
        <w:t>（2）</w:t>
      </w:r>
      <w:r>
        <w:rPr>
          <w:rFonts w:hint="eastAsia" w:eastAsia="仿宋_GB2312"/>
          <w:bCs/>
          <w:sz w:val="24"/>
          <w:lang w:val="en-US" w:eastAsia="zh-CN"/>
        </w:rPr>
        <w:t>4.1育苗场地的选择中，增加了对设施消毒方法的列举。修订原因及试验验证分析：育苗设施消毒是集约化育苗技术的关键环节，原文件中未对消毒方法进行列举，修订文件中列举的“育苗设施可选择高温闷棚法、石灰水消毒法或硫磺-敌敌畏熏蒸法进行消毒”三种消毒方法在生产实践中广泛应用，同时这些方法均由运城市盐湖区禹润农业发展有限公司、清徐县金土地育苗有限公司进行了技术验证，消毒效果能够达到育苗要求</w:t>
      </w:r>
      <w:r>
        <w:rPr>
          <w:rFonts w:hint="eastAsia" w:eastAsia="仿宋_GB2312"/>
          <w:bCs/>
          <w:sz w:val="24"/>
          <w:lang w:eastAsia="zh-CN"/>
        </w:rPr>
        <w:t>。</w:t>
      </w:r>
    </w:p>
    <w:p>
      <w:pPr>
        <w:keepNext w:val="0"/>
        <w:keepLines w:val="0"/>
        <w:pageBreakBefore w:val="0"/>
        <w:kinsoku/>
        <w:wordWrap/>
        <w:overflowPunct/>
        <w:topLinePunct w:val="0"/>
        <w:bidi w:val="0"/>
        <w:adjustRightInd/>
        <w:snapToGrid/>
        <w:spacing w:line="440" w:lineRule="exact"/>
        <w:ind w:firstLine="480" w:firstLineChars="200"/>
        <w:textAlignment w:val="auto"/>
        <w:outlineLvl w:val="0"/>
        <w:rPr>
          <w:rFonts w:hint="eastAsia" w:eastAsia="仿宋_GB2312"/>
          <w:bCs/>
          <w:sz w:val="24"/>
          <w:lang w:eastAsia="zh-CN"/>
        </w:rPr>
      </w:pPr>
      <w:r>
        <w:rPr>
          <w:rFonts w:hint="eastAsia" w:ascii="仿宋_GB2312" w:hAnsi="宋体" w:eastAsia="仿宋_GB2312"/>
          <w:sz w:val="24"/>
          <w:lang w:val="en-US" w:eastAsia="zh-CN"/>
        </w:rPr>
        <w:t>（3）</w:t>
      </w:r>
      <w:r>
        <w:rPr>
          <w:rFonts w:hint="eastAsia" w:eastAsia="仿宋_GB2312"/>
          <w:bCs/>
          <w:sz w:val="24"/>
          <w:lang w:val="en-US" w:eastAsia="zh-CN"/>
        </w:rPr>
        <w:t>7苗期管理中，对温度、湿度、光照、养分、花芽分化调控等环节的具体技术参数进行了详细的描述</w:t>
      </w:r>
      <w:r>
        <w:rPr>
          <w:rFonts w:hint="eastAsia" w:eastAsia="仿宋_GB2312"/>
          <w:bCs/>
          <w:sz w:val="24"/>
          <w:lang w:eastAsia="zh-CN"/>
        </w:rPr>
        <w:t>。修订原因</w:t>
      </w:r>
      <w:r>
        <w:rPr>
          <w:rFonts w:hint="eastAsia" w:eastAsia="仿宋_GB2312"/>
          <w:bCs/>
          <w:sz w:val="24"/>
          <w:lang w:val="en-US" w:eastAsia="zh-CN"/>
        </w:rPr>
        <w:t>及试验验证分析</w:t>
      </w:r>
      <w:r>
        <w:rPr>
          <w:rFonts w:hint="eastAsia" w:eastAsia="仿宋_GB2312"/>
          <w:bCs/>
          <w:sz w:val="24"/>
          <w:lang w:eastAsia="zh-CN"/>
        </w:rPr>
        <w:t>：</w:t>
      </w:r>
      <w:r>
        <w:rPr>
          <w:rFonts w:hint="eastAsia" w:eastAsia="仿宋_GB2312"/>
          <w:bCs/>
          <w:sz w:val="24"/>
          <w:lang w:val="en-US" w:eastAsia="zh-CN"/>
        </w:rPr>
        <w:t>原文件中未对常规育苗苗期管理进行具体表述，本文件增加了此部分内容，如7.2.1温度管理中，明确提出了出苗期昼温控制在26℃～30℃，夜温20℃～22℃；子叶期昼温控制在18℃～20℃，夜温15℃～16℃；真叶期昼温控制在25℃～30℃，夜温15℃～20℃；成苗期昼温控制在20℃～30℃，夜温15℃～18℃，对生产实际具有指导意义，技术参数均由运城市盐湖区禹润农业发展有限公司、清徐县金土地育苗有限公司进行了技术验证，符合生产实际。</w:t>
      </w:r>
    </w:p>
    <w:p>
      <w:pPr>
        <w:keepNext w:val="0"/>
        <w:keepLines w:val="0"/>
        <w:pageBreakBefore w:val="0"/>
        <w:kinsoku/>
        <w:wordWrap/>
        <w:overflowPunct/>
        <w:topLinePunct w:val="0"/>
        <w:bidi w:val="0"/>
        <w:adjustRightInd/>
        <w:snapToGrid/>
        <w:spacing w:line="440" w:lineRule="exact"/>
        <w:ind w:firstLine="480" w:firstLineChars="200"/>
        <w:textAlignment w:val="auto"/>
        <w:outlineLvl w:val="0"/>
        <w:rPr>
          <w:rFonts w:ascii="黑体" w:eastAsia="黑体"/>
          <w:sz w:val="24"/>
        </w:rPr>
      </w:pPr>
      <w:r>
        <w:rPr>
          <w:rFonts w:hint="eastAsia" w:ascii="黑体" w:eastAsia="黑体"/>
          <w:sz w:val="24"/>
        </w:rPr>
        <w:t>六</w:t>
      </w:r>
      <w:r>
        <w:rPr>
          <w:rFonts w:ascii="黑体" w:eastAsia="黑体"/>
          <w:sz w:val="24"/>
        </w:rPr>
        <w:t>、</w:t>
      </w:r>
      <w:r>
        <w:rPr>
          <w:rFonts w:hint="eastAsia" w:ascii="黑体" w:eastAsia="黑体"/>
          <w:sz w:val="24"/>
        </w:rPr>
        <w:t>重大</w:t>
      </w:r>
      <w:r>
        <w:rPr>
          <w:rFonts w:ascii="黑体" w:eastAsia="黑体"/>
          <w:sz w:val="24"/>
        </w:rPr>
        <w:t>意见分歧的处理依据和结果</w:t>
      </w:r>
    </w:p>
    <w:p>
      <w:pPr>
        <w:keepNext w:val="0"/>
        <w:keepLines w:val="0"/>
        <w:pageBreakBefore w:val="0"/>
        <w:kinsoku/>
        <w:wordWrap/>
        <w:overflowPunct/>
        <w:topLinePunct w:val="0"/>
        <w:bidi w:val="0"/>
        <w:adjustRightInd/>
        <w:snapToGrid/>
        <w:spacing w:line="440" w:lineRule="exact"/>
        <w:ind w:firstLine="480" w:firstLineChars="200"/>
        <w:jc w:val="left"/>
        <w:textAlignment w:val="auto"/>
        <w:rPr>
          <w:rFonts w:hint="eastAsia" w:ascii="仿宋_GB2312" w:hAnsi="宋体" w:eastAsia="仿宋_GB2312"/>
          <w:sz w:val="24"/>
          <w:lang w:eastAsia="zh-CN"/>
        </w:rPr>
      </w:pPr>
      <w:r>
        <w:rPr>
          <w:rFonts w:hint="eastAsia" w:ascii="仿宋_GB2312" w:hAnsi="宋体" w:eastAsia="仿宋_GB2312"/>
          <w:sz w:val="24"/>
          <w:lang w:val="en-US" w:eastAsia="zh-CN"/>
        </w:rPr>
        <w:t>标准初稿形成后，首先在起草组内部再次进行讨论，对初稿进行了适当的修改和完善。为保证标准的严谨性，起草组征求相关专家的意见，先后向山西农业大学等单位相关专家征求意见，共收到修改意见8条，采纳8条，详见附表。根据专家的意见起草组经过多次研讨对初稿进行了修改，形成讨论稿。本标准无重大意见分歧。</w:t>
      </w:r>
    </w:p>
    <w:p>
      <w:pPr>
        <w:keepNext w:val="0"/>
        <w:keepLines w:val="0"/>
        <w:pageBreakBefore w:val="0"/>
        <w:kinsoku/>
        <w:wordWrap/>
        <w:overflowPunct/>
        <w:topLinePunct w:val="0"/>
        <w:bidi w:val="0"/>
        <w:adjustRightInd/>
        <w:snapToGrid/>
        <w:spacing w:line="440" w:lineRule="exact"/>
        <w:ind w:firstLine="480" w:firstLineChars="200"/>
        <w:textAlignment w:val="auto"/>
        <w:outlineLvl w:val="0"/>
        <w:rPr>
          <w:rFonts w:ascii="黑体" w:eastAsia="黑体"/>
          <w:sz w:val="24"/>
        </w:rPr>
      </w:pPr>
      <w:r>
        <w:rPr>
          <w:rFonts w:hint="eastAsia" w:ascii="黑体" w:eastAsia="黑体"/>
          <w:sz w:val="24"/>
        </w:rPr>
        <w:t>七</w:t>
      </w:r>
      <w:r>
        <w:rPr>
          <w:rFonts w:ascii="黑体" w:eastAsia="黑体"/>
          <w:sz w:val="24"/>
        </w:rPr>
        <w:t>、</w:t>
      </w:r>
      <w:r>
        <w:rPr>
          <w:rFonts w:hint="eastAsia" w:ascii="黑体" w:eastAsia="黑体"/>
          <w:sz w:val="24"/>
        </w:rPr>
        <w:t>采标</w:t>
      </w:r>
      <w:r>
        <w:rPr>
          <w:rFonts w:ascii="黑体" w:eastAsia="黑体"/>
          <w:sz w:val="24"/>
        </w:rPr>
        <w:t>情况，是否合规引用或采用国际标准和国外先进标准，以及与国内外同类标准水平的对比情况</w:t>
      </w:r>
    </w:p>
    <w:p>
      <w:pPr>
        <w:keepNext w:val="0"/>
        <w:keepLines w:val="0"/>
        <w:pageBreakBefore w:val="0"/>
        <w:kinsoku/>
        <w:wordWrap/>
        <w:overflowPunct/>
        <w:topLinePunct w:val="0"/>
        <w:bidi w:val="0"/>
        <w:adjustRightInd/>
        <w:snapToGrid/>
        <w:spacing w:line="440" w:lineRule="exact"/>
        <w:ind w:firstLine="480" w:firstLineChars="200"/>
        <w:textAlignment w:val="auto"/>
        <w:outlineLvl w:val="0"/>
        <w:rPr>
          <w:rFonts w:hint="eastAsia" w:ascii="仿宋_GB2312" w:hAnsi="宋体" w:eastAsia="仿宋_GB2312"/>
          <w:sz w:val="24"/>
          <w:lang w:val="en-US" w:eastAsia="zh-CN"/>
        </w:rPr>
      </w:pPr>
      <w:r>
        <w:rPr>
          <w:rFonts w:hint="eastAsia" w:ascii="仿宋_GB2312" w:hAnsi="宋体" w:eastAsia="仿宋_GB2312"/>
          <w:sz w:val="24"/>
          <w:lang w:val="en-US" w:eastAsia="zh-CN"/>
        </w:rPr>
        <w:t>目前现行的相关标准有NY/T 2119 《蔬菜穴盘育苗通则》、山东《西瓜集约化嫁接育苗技术规程》（DB37/T 2545-2014）、宁夏《 西瓜集约化穴盘育苗技术规程》（DB64/T 893-2013）、唐山市《西瓜集约化嫁接育苗技术规程》（DB1302/T 538-2021）等。</w:t>
      </w:r>
    </w:p>
    <w:p>
      <w:pPr>
        <w:keepNext w:val="0"/>
        <w:keepLines w:val="0"/>
        <w:pageBreakBefore w:val="0"/>
        <w:kinsoku/>
        <w:wordWrap/>
        <w:overflowPunct/>
        <w:topLinePunct w:val="0"/>
        <w:bidi w:val="0"/>
        <w:adjustRightInd/>
        <w:snapToGrid/>
        <w:spacing w:line="440" w:lineRule="exact"/>
        <w:ind w:firstLine="480" w:firstLineChars="200"/>
        <w:textAlignment w:val="auto"/>
        <w:outlineLvl w:val="0"/>
        <w:rPr>
          <w:rFonts w:hint="eastAsia" w:ascii="仿宋_GB2312" w:hAnsi="宋体" w:eastAsia="仿宋_GB2312"/>
          <w:sz w:val="24"/>
          <w:lang w:val="en-US" w:eastAsia="zh-CN"/>
        </w:rPr>
      </w:pPr>
      <w:r>
        <w:rPr>
          <w:rFonts w:hint="eastAsia" w:ascii="仿宋_GB2312" w:hAnsi="宋体" w:eastAsia="仿宋_GB2312"/>
          <w:sz w:val="24"/>
          <w:lang w:val="en-US" w:eastAsia="zh-CN"/>
        </w:rPr>
        <w:t>本标准与现行的同类标准相比较，主要突出了以下内容：</w:t>
      </w:r>
    </w:p>
    <w:p>
      <w:pPr>
        <w:keepNext w:val="0"/>
        <w:keepLines w:val="0"/>
        <w:pageBreakBefore w:val="0"/>
        <w:numPr>
          <w:ilvl w:val="0"/>
          <w:numId w:val="0"/>
        </w:numPr>
        <w:kinsoku/>
        <w:wordWrap/>
        <w:overflowPunct/>
        <w:topLinePunct w:val="0"/>
        <w:bidi w:val="0"/>
        <w:adjustRightInd/>
        <w:snapToGrid/>
        <w:spacing w:line="440" w:lineRule="exact"/>
        <w:ind w:firstLine="480" w:firstLineChars="200"/>
        <w:textAlignment w:val="auto"/>
        <w:outlineLvl w:val="0"/>
        <w:rPr>
          <w:rFonts w:hint="eastAsia" w:ascii="仿宋_GB2312" w:hAnsi="宋体" w:eastAsia="仿宋_GB2312"/>
          <w:sz w:val="24"/>
          <w:lang w:val="en-US" w:eastAsia="zh-CN"/>
        </w:rPr>
      </w:pPr>
      <w:r>
        <w:rPr>
          <w:rFonts w:hint="eastAsia" w:ascii="仿宋_GB2312" w:hAnsi="宋体" w:eastAsia="仿宋_GB2312"/>
          <w:sz w:val="24"/>
          <w:lang w:val="en-US" w:eastAsia="zh-CN"/>
        </w:rPr>
        <w:t>1、本标准结合山西省生态环境和目前的种植模式，因地制宜提出了西瓜种苗集约化生产技术，并根据生产实际，对生产中大量应用的种子处理、苗期温湿度管理进行有针对性的修订，使修订后的技术规程更加符合生产实际，更加能指导生产。</w:t>
      </w:r>
    </w:p>
    <w:p>
      <w:pPr>
        <w:keepNext w:val="0"/>
        <w:keepLines w:val="0"/>
        <w:pageBreakBefore w:val="0"/>
        <w:numPr>
          <w:ilvl w:val="0"/>
          <w:numId w:val="0"/>
        </w:numPr>
        <w:kinsoku/>
        <w:wordWrap/>
        <w:overflowPunct/>
        <w:topLinePunct w:val="0"/>
        <w:bidi w:val="0"/>
        <w:adjustRightInd/>
        <w:snapToGrid/>
        <w:spacing w:line="440" w:lineRule="exact"/>
        <w:ind w:firstLine="480" w:firstLineChars="200"/>
        <w:textAlignment w:val="auto"/>
        <w:outlineLvl w:val="0"/>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2、本标紧密结合山西西瓜生产实际，并对集约化育苗中温度管理、湿度管理、光照管理、养分管理、花芽分化调控等关键技术参数进行了优化。</w:t>
      </w:r>
    </w:p>
    <w:p>
      <w:pPr>
        <w:keepNext w:val="0"/>
        <w:keepLines w:val="0"/>
        <w:pageBreakBefore w:val="0"/>
        <w:kinsoku/>
        <w:wordWrap/>
        <w:overflowPunct/>
        <w:topLinePunct w:val="0"/>
        <w:bidi w:val="0"/>
        <w:adjustRightInd/>
        <w:snapToGrid/>
        <w:spacing w:line="440" w:lineRule="exact"/>
        <w:ind w:firstLine="480" w:firstLineChars="200"/>
        <w:textAlignment w:val="auto"/>
        <w:outlineLvl w:val="0"/>
        <w:rPr>
          <w:rFonts w:hint="eastAsia" w:ascii="仿宋_GB2312" w:hAnsi="宋体" w:eastAsia="仿宋_GB2312"/>
          <w:sz w:val="24"/>
          <w:lang w:val="en-US" w:eastAsia="zh-CN"/>
        </w:rPr>
      </w:pPr>
      <w:r>
        <w:rPr>
          <w:rFonts w:hint="eastAsia" w:ascii="仿宋_GB2312" w:hAnsi="宋体" w:eastAsia="仿宋_GB2312"/>
          <w:sz w:val="24"/>
          <w:lang w:val="en-US" w:eastAsia="zh-CN"/>
        </w:rPr>
        <w:t>3、本标准明确了西瓜集约化育苗过程中育苗设施准备、种子处理、播种、病虫害防治等措施操作流程和关键点，具有较强的可操作性。</w:t>
      </w:r>
    </w:p>
    <w:p>
      <w:pPr>
        <w:keepNext w:val="0"/>
        <w:keepLines w:val="0"/>
        <w:pageBreakBefore w:val="0"/>
        <w:kinsoku/>
        <w:wordWrap/>
        <w:overflowPunct/>
        <w:topLinePunct w:val="0"/>
        <w:bidi w:val="0"/>
        <w:adjustRightInd/>
        <w:snapToGrid/>
        <w:spacing w:line="440" w:lineRule="exact"/>
        <w:ind w:firstLine="480" w:firstLineChars="200"/>
        <w:textAlignment w:val="auto"/>
        <w:outlineLvl w:val="0"/>
        <w:rPr>
          <w:rFonts w:ascii="黑体" w:eastAsia="黑体"/>
          <w:sz w:val="24"/>
        </w:rPr>
      </w:pPr>
      <w:r>
        <w:rPr>
          <w:rFonts w:hint="eastAsia" w:ascii="黑体" w:eastAsia="黑体"/>
          <w:sz w:val="24"/>
        </w:rPr>
        <w:t>八</w:t>
      </w:r>
      <w:r>
        <w:rPr>
          <w:rFonts w:hint="eastAsia" w:ascii="黑体" w:eastAsia="黑体"/>
          <w:sz w:val="24"/>
          <w:lang w:eastAsia="zh-CN"/>
        </w:rPr>
        <w:t>、</w:t>
      </w:r>
      <w:r>
        <w:rPr>
          <w:rFonts w:hint="eastAsia" w:ascii="黑体" w:hAnsi="黑体" w:eastAsia="黑体"/>
          <w:sz w:val="24"/>
          <w:szCs w:val="24"/>
        </w:rPr>
        <w:t>作为推荐性标准或者强制性标准的建议及其理由。</w:t>
      </w:r>
    </w:p>
    <w:p>
      <w:pPr>
        <w:keepNext w:val="0"/>
        <w:keepLines w:val="0"/>
        <w:pageBreakBefore w:val="0"/>
        <w:kinsoku/>
        <w:wordWrap/>
        <w:overflowPunct/>
        <w:topLinePunct w:val="0"/>
        <w:bidi w:val="0"/>
        <w:adjustRightInd/>
        <w:snapToGrid/>
        <w:spacing w:line="440" w:lineRule="exact"/>
        <w:ind w:firstLine="480" w:firstLineChars="200"/>
        <w:jc w:val="left"/>
        <w:textAlignment w:val="auto"/>
        <w:rPr>
          <w:rFonts w:ascii="仿宋_GB2312" w:hAnsi="宋体" w:eastAsia="仿宋_GB2312"/>
          <w:sz w:val="24"/>
        </w:rPr>
      </w:pPr>
      <w:r>
        <w:rPr>
          <w:rFonts w:ascii="仿宋_GB2312" w:hAnsi="宋体" w:eastAsia="仿宋_GB2312"/>
          <w:sz w:val="24"/>
        </w:rPr>
        <w:t>建议本标准为推荐性标准。</w:t>
      </w:r>
    </w:p>
    <w:p>
      <w:pPr>
        <w:keepNext w:val="0"/>
        <w:keepLines w:val="0"/>
        <w:pageBreakBefore w:val="0"/>
        <w:kinsoku/>
        <w:wordWrap/>
        <w:overflowPunct/>
        <w:topLinePunct w:val="0"/>
        <w:bidi w:val="0"/>
        <w:adjustRightInd/>
        <w:snapToGrid/>
        <w:spacing w:line="440" w:lineRule="exact"/>
        <w:ind w:firstLine="480" w:firstLineChars="200"/>
        <w:textAlignment w:val="auto"/>
        <w:outlineLvl w:val="0"/>
        <w:rPr>
          <w:rFonts w:ascii="黑体" w:eastAsia="黑体"/>
          <w:sz w:val="24"/>
        </w:rPr>
      </w:pPr>
      <w:r>
        <w:rPr>
          <w:rFonts w:hint="eastAsia" w:ascii="黑体" w:eastAsia="黑体"/>
          <w:sz w:val="24"/>
        </w:rPr>
        <w:t>九</w:t>
      </w:r>
      <w:r>
        <w:rPr>
          <w:rFonts w:ascii="黑体" w:eastAsia="黑体"/>
          <w:sz w:val="24"/>
        </w:rPr>
        <w:t>、</w:t>
      </w:r>
      <w:r>
        <w:rPr>
          <w:rFonts w:hint="eastAsia" w:ascii="黑体" w:eastAsia="黑体"/>
          <w:sz w:val="24"/>
        </w:rPr>
        <w:t>实施</w:t>
      </w:r>
      <w:r>
        <w:rPr>
          <w:rFonts w:ascii="黑体" w:eastAsia="黑体"/>
          <w:sz w:val="24"/>
        </w:rPr>
        <w:t>标准的措施建议</w:t>
      </w:r>
    </w:p>
    <w:p>
      <w:pPr>
        <w:keepNext w:val="0"/>
        <w:keepLines w:val="0"/>
        <w:pageBreakBefore w:val="0"/>
        <w:kinsoku/>
        <w:wordWrap/>
        <w:overflowPunct/>
        <w:topLinePunct w:val="0"/>
        <w:bidi w:val="0"/>
        <w:adjustRightInd/>
        <w:snapToGrid/>
        <w:spacing w:line="440" w:lineRule="exact"/>
        <w:ind w:firstLine="480" w:firstLineChars="200"/>
        <w:jc w:val="left"/>
        <w:textAlignment w:val="auto"/>
        <w:rPr>
          <w:rFonts w:hint="eastAsia" w:ascii="仿宋_GB2312" w:hAnsi="宋体" w:eastAsia="仿宋_GB2312"/>
          <w:sz w:val="24"/>
        </w:rPr>
      </w:pPr>
      <w:r>
        <w:rPr>
          <w:rFonts w:hint="eastAsia" w:ascii="楷体_GB2312" w:hAnsi="楷体_GB2312" w:eastAsia="楷体_GB2312" w:cs="楷体_GB2312"/>
          <w:sz w:val="24"/>
        </w:rPr>
        <w:t xml:space="preserve"> （一）利用现代化媒体广泛宣传。</w:t>
      </w:r>
      <w:r>
        <w:rPr>
          <w:rFonts w:hint="eastAsia" w:ascii="仿宋_GB2312" w:hAnsi="宋体" w:eastAsia="仿宋_GB2312"/>
          <w:sz w:val="24"/>
        </w:rPr>
        <w:t>本标准颁布实施后，要充分利用网络、电台、报纸、手机短信等媒体广泛宣传，将</w:t>
      </w:r>
      <w:r>
        <w:rPr>
          <w:rFonts w:hint="eastAsia" w:ascii="仿宋_GB2312" w:hAnsi="宋体" w:eastAsia="仿宋_GB2312"/>
          <w:sz w:val="24"/>
          <w:lang w:eastAsia="zh-CN"/>
        </w:rPr>
        <w:t>西瓜集约化育苗</w:t>
      </w:r>
      <w:r>
        <w:rPr>
          <w:rFonts w:hint="eastAsia" w:ascii="仿宋_GB2312" w:hAnsi="宋体" w:eastAsia="仿宋_GB2312"/>
          <w:sz w:val="24"/>
        </w:rPr>
        <w:t>技术规程普及到基层生产中去。</w:t>
      </w:r>
    </w:p>
    <w:p>
      <w:pPr>
        <w:keepNext w:val="0"/>
        <w:keepLines w:val="0"/>
        <w:pageBreakBefore w:val="0"/>
        <w:kinsoku/>
        <w:wordWrap/>
        <w:overflowPunct/>
        <w:topLinePunct w:val="0"/>
        <w:bidi w:val="0"/>
        <w:adjustRightInd/>
        <w:snapToGrid/>
        <w:spacing w:line="440" w:lineRule="exact"/>
        <w:ind w:firstLine="480" w:firstLineChars="200"/>
        <w:jc w:val="left"/>
        <w:textAlignment w:val="auto"/>
        <w:rPr>
          <w:rFonts w:hint="eastAsia" w:ascii="仿宋_GB2312" w:hAnsi="宋体" w:eastAsia="仿宋_GB2312"/>
          <w:sz w:val="24"/>
        </w:rPr>
      </w:pPr>
      <w:r>
        <w:rPr>
          <w:rFonts w:hint="eastAsia" w:ascii="楷体_GB2312" w:hAnsi="楷体_GB2312" w:eastAsia="楷体_GB2312" w:cs="楷体_GB2312"/>
          <w:sz w:val="24"/>
        </w:rPr>
        <w:t>（二）举办培训班、深入生产一线技术指导。</w:t>
      </w:r>
      <w:r>
        <w:rPr>
          <w:rFonts w:hint="eastAsia" w:ascii="仿宋_GB2312" w:hAnsi="宋体" w:eastAsia="仿宋_GB2312"/>
          <w:sz w:val="24"/>
        </w:rPr>
        <w:t>在标准发布实施的初期，要通过举办培训班、召开现场会、专家讲座、田间学校等方式加强农技人员应用标准、推广标准的指导工作。</w:t>
      </w:r>
    </w:p>
    <w:p>
      <w:pPr>
        <w:keepNext w:val="0"/>
        <w:keepLines w:val="0"/>
        <w:pageBreakBefore w:val="0"/>
        <w:kinsoku/>
        <w:wordWrap/>
        <w:overflowPunct/>
        <w:topLinePunct w:val="0"/>
        <w:bidi w:val="0"/>
        <w:adjustRightInd/>
        <w:snapToGrid/>
        <w:spacing w:line="440" w:lineRule="exact"/>
        <w:ind w:firstLine="480" w:firstLineChars="200"/>
        <w:jc w:val="left"/>
        <w:textAlignment w:val="auto"/>
        <w:rPr>
          <w:rFonts w:hint="eastAsia" w:ascii="仿宋_GB2312" w:hAnsi="宋体" w:eastAsia="仿宋_GB2312"/>
          <w:sz w:val="24"/>
        </w:rPr>
      </w:pPr>
      <w:r>
        <w:rPr>
          <w:rFonts w:hint="eastAsia" w:ascii="楷体_GB2312" w:hAnsi="楷体_GB2312" w:eastAsia="楷体_GB2312" w:cs="楷体_GB2312"/>
          <w:sz w:val="24"/>
        </w:rPr>
        <w:t>（三）建立标准化示范区，以点带面，辐射推广。</w:t>
      </w:r>
      <w:r>
        <w:rPr>
          <w:rFonts w:hint="eastAsia" w:ascii="仿宋_GB2312" w:hAnsi="宋体" w:eastAsia="仿宋_GB2312"/>
          <w:sz w:val="24"/>
        </w:rPr>
        <w:t>充分利用中央和省级专项资金及各地政府的资金，建立示范基地，以点带面，全面推动本标准的广泛实施。</w:t>
      </w:r>
    </w:p>
    <w:p>
      <w:pPr>
        <w:keepNext w:val="0"/>
        <w:keepLines w:val="0"/>
        <w:pageBreakBefore w:val="0"/>
        <w:kinsoku/>
        <w:wordWrap/>
        <w:overflowPunct/>
        <w:topLinePunct w:val="0"/>
        <w:bidi w:val="0"/>
        <w:adjustRightInd/>
        <w:snapToGrid/>
        <w:spacing w:line="440" w:lineRule="exact"/>
        <w:ind w:firstLine="480" w:firstLineChars="200"/>
        <w:jc w:val="left"/>
        <w:textAlignment w:val="auto"/>
        <w:rPr>
          <w:rFonts w:hint="eastAsia" w:ascii="仿宋_GB2312" w:hAnsi="宋体" w:eastAsia="仿宋_GB2312"/>
          <w:sz w:val="24"/>
          <w:lang w:val="en-US" w:eastAsia="zh-CN"/>
        </w:rPr>
        <w:sectPr>
          <w:footerReference r:id="rId3" w:type="default"/>
          <w:pgSz w:w="11906" w:h="16838"/>
          <w:pgMar w:top="1440" w:right="1803" w:bottom="1440" w:left="1803" w:header="851" w:footer="992" w:gutter="0"/>
          <w:pgNumType w:start="1"/>
          <w:cols w:space="0" w:num="1"/>
          <w:titlePg/>
          <w:rtlGutter w:val="0"/>
          <w:docGrid w:type="lines" w:linePitch="319" w:charSpace="0"/>
        </w:sectPr>
      </w:pPr>
    </w:p>
    <w:p>
      <w:pPr>
        <w:spacing w:line="360" w:lineRule="auto"/>
        <w:ind w:firstLine="480" w:firstLineChars="200"/>
        <w:jc w:val="left"/>
        <w:rPr>
          <w:rFonts w:hint="eastAsia" w:ascii="仿宋_GB2312" w:hAnsi="宋体" w:eastAsia="仿宋_GB2312"/>
          <w:b/>
          <w:bCs/>
          <w:sz w:val="28"/>
          <w:szCs w:val="28"/>
          <w:lang w:val="en-US" w:eastAsia="zh-CN"/>
        </w:rPr>
      </w:pPr>
      <w:r>
        <w:rPr>
          <w:rFonts w:hint="eastAsia" w:ascii="仿宋_GB2312" w:hAnsi="宋体" w:eastAsia="仿宋_GB2312"/>
          <w:sz w:val="24"/>
          <w:lang w:val="en-US" w:eastAsia="zh-CN"/>
        </w:rPr>
        <w:t>附表</w:t>
      </w:r>
    </w:p>
    <w:p>
      <w:pPr>
        <w:jc w:val="center"/>
        <w:rPr>
          <w:rFonts w:hint="default"/>
          <w:b/>
          <w:bCs/>
          <w:sz w:val="32"/>
          <w:szCs w:val="32"/>
          <w:lang w:val="en-US" w:eastAsia="zh-CN"/>
        </w:rPr>
      </w:pPr>
      <w:r>
        <w:rPr>
          <w:rFonts w:hint="eastAsia" w:ascii="仿宋_GB2312" w:hAnsi="宋体" w:eastAsia="仿宋_GB2312"/>
          <w:b/>
          <w:bCs/>
          <w:sz w:val="28"/>
          <w:szCs w:val="28"/>
          <w:lang w:val="en-US" w:eastAsia="zh-CN"/>
        </w:rPr>
        <w:t>《西瓜集约化育苗生产技术规程》征求意见汇总处理表</w:t>
      </w:r>
    </w:p>
    <w:p>
      <w:pPr>
        <w:snapToGrid w:val="0"/>
        <w:spacing w:line="360" w:lineRule="auto"/>
        <w:rPr>
          <w:rFonts w:hint="eastAsia" w:ascii="Times New Roman" w:hAnsi="Times New Roman" w:eastAsia="宋体" w:cs="Times New Roman"/>
          <w:sz w:val="21"/>
          <w:szCs w:val="21"/>
          <w:lang w:val="en-US" w:eastAsia="zh-CN"/>
        </w:rPr>
      </w:pPr>
    </w:p>
    <w:p>
      <w:pPr>
        <w:snapToGrid w:val="0"/>
        <w:spacing w:line="360" w:lineRule="auto"/>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起草单位：山西省</w:t>
      </w:r>
      <w:r>
        <w:rPr>
          <w:rFonts w:hint="eastAsia" w:cs="Times New Roman"/>
          <w:sz w:val="21"/>
          <w:szCs w:val="21"/>
          <w:lang w:val="en-US" w:eastAsia="zh-CN"/>
        </w:rPr>
        <w:t>园艺产业发展中心</w:t>
      </w:r>
      <w:r>
        <w:rPr>
          <w:rFonts w:hint="eastAsia" w:ascii="Times New Roman" w:hAnsi="Times New Roman" w:eastAsia="宋体" w:cs="Times New Roman"/>
          <w:sz w:val="21"/>
          <w:szCs w:val="21"/>
          <w:lang w:val="en-US" w:eastAsia="zh-CN"/>
        </w:rPr>
        <w:t xml:space="preserve">   承办人：</w:t>
      </w:r>
      <w:r>
        <w:rPr>
          <w:rFonts w:hint="eastAsia" w:cs="Times New Roman"/>
          <w:sz w:val="21"/>
          <w:szCs w:val="21"/>
          <w:lang w:val="en-US" w:eastAsia="zh-CN"/>
        </w:rPr>
        <w:t>刘瑞宇</w:t>
      </w:r>
      <w:r>
        <w:rPr>
          <w:rFonts w:hint="eastAsia" w:ascii="Times New Roman" w:hAnsi="Times New Roman" w:eastAsia="宋体" w:cs="Times New Roman"/>
          <w:sz w:val="21"/>
          <w:szCs w:val="21"/>
          <w:lang w:val="en-US" w:eastAsia="zh-CN"/>
        </w:rPr>
        <w:t xml:space="preserve">                       联系电话：</w:t>
      </w:r>
      <w:r>
        <w:rPr>
          <w:rFonts w:hint="eastAsia" w:cs="Times New Roman"/>
          <w:sz w:val="21"/>
          <w:szCs w:val="21"/>
          <w:lang w:val="en-US" w:eastAsia="zh-CN"/>
        </w:rPr>
        <w:t>13613446040</w:t>
      </w:r>
      <w:r>
        <w:rPr>
          <w:rFonts w:hint="eastAsia" w:ascii="Times New Roman" w:hAnsi="Times New Roman" w:eastAsia="宋体" w:cs="Times New Roman"/>
          <w:sz w:val="21"/>
          <w:szCs w:val="21"/>
          <w:lang w:val="en-US" w:eastAsia="zh-CN"/>
        </w:rPr>
        <w:t xml:space="preserve">              填写时间：202</w:t>
      </w:r>
      <w:r>
        <w:rPr>
          <w:rFonts w:hint="eastAsia" w:cs="Times New Roman"/>
          <w:sz w:val="21"/>
          <w:szCs w:val="21"/>
          <w:lang w:val="en-US" w:eastAsia="zh-CN"/>
        </w:rPr>
        <w:t>3</w:t>
      </w:r>
      <w:r>
        <w:rPr>
          <w:rFonts w:hint="eastAsia" w:ascii="Times New Roman" w:hAnsi="Times New Roman" w:eastAsia="宋体" w:cs="Times New Roman"/>
          <w:sz w:val="21"/>
          <w:szCs w:val="21"/>
          <w:lang w:val="en-US" w:eastAsia="zh-CN"/>
        </w:rPr>
        <w:t>.</w:t>
      </w:r>
      <w:r>
        <w:rPr>
          <w:rFonts w:hint="eastAsia" w:cs="Times New Roman"/>
          <w:sz w:val="21"/>
          <w:szCs w:val="21"/>
          <w:lang w:val="en-US" w:eastAsia="zh-CN"/>
        </w:rPr>
        <w:t>12</w:t>
      </w:r>
      <w:r>
        <w:rPr>
          <w:rFonts w:hint="eastAsia" w:ascii="Times New Roman" w:hAnsi="Times New Roman" w:eastAsia="宋体" w:cs="Times New Roman"/>
          <w:sz w:val="21"/>
          <w:szCs w:val="21"/>
          <w:lang w:val="en-US" w:eastAsia="zh-CN"/>
        </w:rPr>
        <w:t>.</w:t>
      </w:r>
      <w:r>
        <w:rPr>
          <w:rFonts w:hint="eastAsia" w:cs="Times New Roman"/>
          <w:sz w:val="21"/>
          <w:szCs w:val="21"/>
          <w:lang w:val="en-US" w:eastAsia="zh-CN"/>
        </w:rPr>
        <w:t>10</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2"/>
        <w:gridCol w:w="1250"/>
        <w:gridCol w:w="5024"/>
        <w:gridCol w:w="3082"/>
        <w:gridCol w:w="1643"/>
        <w:gridCol w:w="2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noWrap w:val="0"/>
            <w:vAlign w:val="center"/>
          </w:tcPr>
          <w:p>
            <w:pPr>
              <w:snapToGrid w:val="0"/>
              <w:spacing w:line="300" w:lineRule="auto"/>
              <w:jc w:val="center"/>
              <w:rPr>
                <w:rFonts w:hint="eastAsia" w:ascii="Times New Roman" w:hAnsi="Times New Roman" w:eastAsia="宋体" w:cs="Times New Roman"/>
                <w:color w:val="000000"/>
                <w:kern w:val="2"/>
                <w:sz w:val="21"/>
                <w:szCs w:val="21"/>
                <w:lang w:val="en-US" w:eastAsia="zh-CN" w:bidi="ar-SA"/>
              </w:rPr>
            </w:pPr>
            <w:r>
              <w:rPr>
                <w:rFonts w:hint="eastAsia"/>
                <w:color w:val="000000"/>
                <w:sz w:val="21"/>
                <w:szCs w:val="21"/>
              </w:rPr>
              <w:t>序号</w:t>
            </w:r>
          </w:p>
        </w:tc>
        <w:tc>
          <w:tcPr>
            <w:tcW w:w="1250" w:type="dxa"/>
            <w:noWrap w:val="0"/>
            <w:vAlign w:val="center"/>
          </w:tcPr>
          <w:p>
            <w:pPr>
              <w:snapToGrid w:val="0"/>
              <w:spacing w:line="300" w:lineRule="auto"/>
              <w:jc w:val="center"/>
              <w:rPr>
                <w:color w:val="000000"/>
                <w:sz w:val="21"/>
                <w:szCs w:val="21"/>
              </w:rPr>
            </w:pPr>
            <w:r>
              <w:rPr>
                <w:rFonts w:hint="eastAsia"/>
                <w:color w:val="000000"/>
                <w:sz w:val="21"/>
                <w:szCs w:val="21"/>
              </w:rPr>
              <w:t>地方标准</w:t>
            </w:r>
          </w:p>
          <w:p>
            <w:pPr>
              <w:snapToGrid w:val="0"/>
              <w:spacing w:line="300" w:lineRule="auto"/>
              <w:jc w:val="center"/>
              <w:rPr>
                <w:rFonts w:hint="eastAsia" w:ascii="Times New Roman" w:hAnsi="Times New Roman" w:eastAsia="宋体" w:cs="Times New Roman"/>
                <w:color w:val="000000"/>
                <w:kern w:val="2"/>
                <w:sz w:val="21"/>
                <w:szCs w:val="21"/>
                <w:lang w:val="en-US" w:eastAsia="zh-CN" w:bidi="ar-SA"/>
              </w:rPr>
            </w:pPr>
            <w:r>
              <w:rPr>
                <w:rFonts w:hint="eastAsia"/>
                <w:color w:val="000000"/>
                <w:sz w:val="21"/>
                <w:szCs w:val="21"/>
              </w:rPr>
              <w:t>章条编号</w:t>
            </w:r>
          </w:p>
        </w:tc>
        <w:tc>
          <w:tcPr>
            <w:tcW w:w="5024" w:type="dxa"/>
            <w:noWrap w:val="0"/>
            <w:vAlign w:val="center"/>
          </w:tcPr>
          <w:p>
            <w:pPr>
              <w:snapToGrid w:val="0"/>
              <w:spacing w:line="300" w:lineRule="auto"/>
              <w:jc w:val="center"/>
              <w:rPr>
                <w:rFonts w:hint="eastAsia" w:ascii="Times New Roman" w:hAnsi="Times New Roman" w:eastAsia="宋体" w:cs="Times New Roman"/>
                <w:color w:val="000000"/>
                <w:kern w:val="2"/>
                <w:sz w:val="21"/>
                <w:szCs w:val="21"/>
                <w:lang w:val="en-US" w:eastAsia="zh-CN" w:bidi="ar-SA"/>
              </w:rPr>
            </w:pPr>
            <w:r>
              <w:rPr>
                <w:rFonts w:hint="eastAsia"/>
                <w:color w:val="000000"/>
                <w:sz w:val="21"/>
                <w:szCs w:val="21"/>
              </w:rPr>
              <w:t>意见内容</w:t>
            </w:r>
          </w:p>
        </w:tc>
        <w:tc>
          <w:tcPr>
            <w:tcW w:w="3082" w:type="dxa"/>
            <w:noWrap w:val="0"/>
            <w:vAlign w:val="center"/>
          </w:tcPr>
          <w:p>
            <w:pPr>
              <w:snapToGrid w:val="0"/>
              <w:spacing w:line="300" w:lineRule="auto"/>
              <w:jc w:val="center"/>
              <w:rPr>
                <w:rFonts w:hint="eastAsia" w:ascii="Times New Roman" w:hAnsi="Times New Roman" w:eastAsia="宋体" w:cs="Times New Roman"/>
                <w:color w:val="000000"/>
                <w:kern w:val="2"/>
                <w:sz w:val="21"/>
                <w:szCs w:val="21"/>
                <w:lang w:val="en-US" w:eastAsia="zh-CN" w:bidi="ar-SA"/>
              </w:rPr>
            </w:pPr>
            <w:r>
              <w:rPr>
                <w:rFonts w:hint="eastAsia"/>
                <w:color w:val="000000"/>
                <w:sz w:val="21"/>
                <w:szCs w:val="21"/>
              </w:rPr>
              <w:t>提出单位</w:t>
            </w:r>
          </w:p>
        </w:tc>
        <w:tc>
          <w:tcPr>
            <w:tcW w:w="1643" w:type="dxa"/>
            <w:noWrap w:val="0"/>
            <w:vAlign w:val="center"/>
          </w:tcPr>
          <w:p>
            <w:pPr>
              <w:snapToGrid w:val="0"/>
              <w:spacing w:line="300" w:lineRule="auto"/>
              <w:jc w:val="center"/>
              <w:rPr>
                <w:color w:val="000000"/>
                <w:sz w:val="21"/>
                <w:szCs w:val="21"/>
              </w:rPr>
            </w:pPr>
            <w:r>
              <w:rPr>
                <w:rFonts w:hint="eastAsia"/>
                <w:color w:val="000000"/>
                <w:sz w:val="21"/>
                <w:szCs w:val="21"/>
              </w:rPr>
              <w:t>处理意见</w:t>
            </w:r>
          </w:p>
          <w:p>
            <w:pPr>
              <w:snapToGrid w:val="0"/>
              <w:spacing w:line="300" w:lineRule="auto"/>
              <w:jc w:val="center"/>
              <w:rPr>
                <w:rFonts w:hint="eastAsia" w:ascii="Times New Roman" w:hAnsi="Times New Roman" w:eastAsia="宋体" w:cs="Times New Roman"/>
                <w:color w:val="000000"/>
                <w:kern w:val="2"/>
                <w:sz w:val="21"/>
                <w:szCs w:val="21"/>
                <w:lang w:val="en-US" w:eastAsia="zh-CN" w:bidi="ar-SA"/>
              </w:rPr>
            </w:pPr>
            <w:r>
              <w:rPr>
                <w:rFonts w:hint="eastAsia"/>
                <w:color w:val="000000"/>
                <w:sz w:val="21"/>
                <w:szCs w:val="21"/>
              </w:rPr>
              <w:t>（采纳/不采纳）</w:t>
            </w:r>
          </w:p>
        </w:tc>
        <w:tc>
          <w:tcPr>
            <w:tcW w:w="2363" w:type="dxa"/>
            <w:noWrap w:val="0"/>
            <w:vAlign w:val="center"/>
          </w:tcPr>
          <w:p>
            <w:pPr>
              <w:snapToGrid w:val="0"/>
              <w:spacing w:line="300" w:lineRule="auto"/>
              <w:jc w:val="center"/>
              <w:rPr>
                <w:color w:val="000000"/>
                <w:sz w:val="21"/>
                <w:szCs w:val="21"/>
              </w:rPr>
            </w:pPr>
            <w:r>
              <w:rPr>
                <w:rFonts w:hint="eastAsia"/>
                <w:color w:val="000000"/>
                <w:sz w:val="21"/>
                <w:szCs w:val="21"/>
              </w:rPr>
              <w:t>意见处理说明</w:t>
            </w:r>
          </w:p>
          <w:p>
            <w:pPr>
              <w:snapToGrid w:val="0"/>
              <w:spacing w:line="300" w:lineRule="auto"/>
              <w:jc w:val="center"/>
              <w:rPr>
                <w:rFonts w:hint="eastAsia" w:ascii="Times New Roman" w:hAnsi="Times New Roman" w:eastAsia="宋体" w:cs="Times New Roman"/>
                <w:color w:val="000000"/>
                <w:kern w:val="2"/>
                <w:sz w:val="21"/>
                <w:szCs w:val="21"/>
                <w:lang w:val="en-US" w:eastAsia="zh-CN" w:bidi="ar-SA"/>
              </w:rPr>
            </w:pPr>
            <w:r>
              <w:rPr>
                <w:rFonts w:hint="eastAsia"/>
                <w:color w:val="000000"/>
                <w:sz w:val="21"/>
                <w:szCs w:val="21"/>
              </w:rPr>
              <w:t>（不采纳理由等）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noWrap w:val="0"/>
            <w:vAlign w:val="center"/>
          </w:tcPr>
          <w:p>
            <w:pPr>
              <w:spacing w:line="320" w:lineRule="exact"/>
              <w:jc w:val="center"/>
              <w:rPr>
                <w:rFonts w:hint="eastAsia" w:ascii="宋体" w:hAnsi="宋体" w:eastAsia="宋体" w:cs="Times New Roman"/>
                <w:kern w:val="2"/>
                <w:sz w:val="21"/>
                <w:szCs w:val="21"/>
                <w:lang w:val="en-US" w:eastAsia="zh-CN" w:bidi="ar-SA"/>
              </w:rPr>
            </w:pPr>
            <w:r>
              <w:rPr>
                <w:rFonts w:hint="eastAsia" w:ascii="宋体" w:hAnsi="宋体"/>
                <w:szCs w:val="21"/>
                <w:lang w:val="en-US" w:eastAsia="zh-CN"/>
              </w:rPr>
              <w:t>1</w:t>
            </w:r>
          </w:p>
        </w:tc>
        <w:tc>
          <w:tcPr>
            <w:tcW w:w="1250" w:type="dxa"/>
            <w:noWrap w:val="0"/>
            <w:vAlign w:val="center"/>
          </w:tcPr>
          <w:p>
            <w:pPr>
              <w:spacing w:line="320" w:lineRule="exact"/>
              <w:jc w:val="center"/>
              <w:rPr>
                <w:rFonts w:hint="eastAsia" w:ascii="宋体" w:hAnsi="宋体" w:eastAsia="宋体" w:cs="Times New Roman"/>
                <w:kern w:val="2"/>
                <w:sz w:val="21"/>
                <w:szCs w:val="21"/>
                <w:lang w:val="en-US" w:eastAsia="zh-CN" w:bidi="ar-SA"/>
              </w:rPr>
            </w:pPr>
            <w:r>
              <w:rPr>
                <w:rFonts w:hint="eastAsia" w:ascii="宋体" w:hAnsi="宋体"/>
                <w:szCs w:val="21"/>
                <w:lang w:val="en-US" w:eastAsia="zh-CN"/>
              </w:rPr>
              <w:t>2</w:t>
            </w:r>
          </w:p>
        </w:tc>
        <w:tc>
          <w:tcPr>
            <w:tcW w:w="5024" w:type="dxa"/>
            <w:noWrap w:val="0"/>
            <w:vAlign w:val="center"/>
          </w:tcPr>
          <w:p>
            <w:pPr>
              <w:pStyle w:val="21"/>
              <w:widowControl w:val="0"/>
              <w:ind w:left="0" w:leftChars="0" w:firstLine="0" w:firstLineChars="0"/>
              <w:rPr>
                <w:rFonts w:hint="eastAsia" w:ascii="宋体" w:hAnsi="Times New Roman" w:eastAsia="宋体" w:cs="Times New Roman"/>
                <w:color w:val="000000"/>
                <w:sz w:val="21"/>
                <w:szCs w:val="21"/>
                <w:lang w:val="en-US" w:eastAsia="zh-CN" w:bidi="ar-SA"/>
              </w:rPr>
            </w:pPr>
            <w:r>
              <w:rPr>
                <w:rFonts w:hint="eastAsia" w:cs="Times New Roman"/>
                <w:color w:val="000000"/>
                <w:lang w:val="en-US" w:eastAsia="zh-CN"/>
              </w:rPr>
              <w:t>规范性引用文件中删除“</w:t>
            </w:r>
            <w:r>
              <w:rPr>
                <w:rFonts w:hint="eastAsia"/>
                <w:color w:val="000000"/>
              </w:rPr>
              <w:t>NY 5010 无公害食品  蔬菜产地环境条件</w:t>
            </w:r>
            <w:r>
              <w:rPr>
                <w:rFonts w:hint="eastAsia"/>
                <w:color w:val="000000"/>
                <w:lang w:eastAsia="zh-CN"/>
              </w:rPr>
              <w:t>和</w:t>
            </w:r>
            <w:r>
              <w:rPr>
                <w:rFonts w:hint="eastAsia"/>
                <w:color w:val="000000"/>
              </w:rPr>
              <w:t>NY 5111  无公害食品  西瓜生产技术规程</w:t>
            </w:r>
            <w:r>
              <w:rPr>
                <w:rFonts w:hint="eastAsia" w:cs="Times New Roman"/>
                <w:color w:val="000000"/>
                <w:lang w:val="en-US" w:eastAsia="zh-CN"/>
              </w:rPr>
              <w:t>”。</w:t>
            </w:r>
          </w:p>
        </w:tc>
        <w:tc>
          <w:tcPr>
            <w:tcW w:w="3082" w:type="dxa"/>
            <w:noWrap w:val="0"/>
            <w:vAlign w:val="center"/>
          </w:tcPr>
          <w:p>
            <w:pPr>
              <w:spacing w:line="320" w:lineRule="exact"/>
              <w:jc w:val="center"/>
              <w:rPr>
                <w:rFonts w:hint="eastAsia" w:ascii="宋体" w:hAnsi="宋体" w:eastAsia="宋体" w:cs="Times New Roman"/>
                <w:kern w:val="2"/>
                <w:sz w:val="21"/>
                <w:szCs w:val="21"/>
                <w:lang w:val="en-US" w:eastAsia="zh-CN" w:bidi="ar-SA"/>
              </w:rPr>
            </w:pPr>
            <w:r>
              <w:rPr>
                <w:rFonts w:hint="eastAsia" w:ascii="宋体" w:hAnsi="宋体"/>
                <w:szCs w:val="21"/>
                <w:lang w:eastAsia="zh-CN"/>
              </w:rPr>
              <w:t>山西</w:t>
            </w:r>
            <w:r>
              <w:rPr>
                <w:rFonts w:hint="eastAsia" w:ascii="宋体" w:hAnsi="宋体"/>
                <w:szCs w:val="21"/>
                <w:lang w:val="en-US" w:eastAsia="zh-CN"/>
              </w:rPr>
              <w:t>省检验检测中心</w:t>
            </w:r>
          </w:p>
        </w:tc>
        <w:tc>
          <w:tcPr>
            <w:tcW w:w="1643" w:type="dxa"/>
            <w:noWrap w:val="0"/>
            <w:vAlign w:val="center"/>
          </w:tcPr>
          <w:p>
            <w:pPr>
              <w:spacing w:line="320" w:lineRule="exact"/>
              <w:jc w:val="center"/>
              <w:rPr>
                <w:rFonts w:hint="default" w:ascii="宋体" w:hAnsi="宋体"/>
                <w:szCs w:val="21"/>
                <w:lang w:val="en-US" w:eastAsia="zh-CN"/>
              </w:rPr>
            </w:pPr>
            <w:r>
              <w:rPr>
                <w:rFonts w:hint="eastAsia" w:ascii="宋体" w:hAnsi="宋体"/>
                <w:szCs w:val="21"/>
                <w:lang w:val="en-US" w:eastAsia="zh-CN"/>
              </w:rPr>
              <w:t>采纳</w:t>
            </w:r>
          </w:p>
        </w:tc>
        <w:tc>
          <w:tcPr>
            <w:tcW w:w="2363" w:type="dxa"/>
            <w:noWrap w:val="0"/>
            <w:vAlign w:val="center"/>
          </w:tcPr>
          <w:p>
            <w:pPr>
              <w:snapToGrid w:val="0"/>
              <w:spacing w:line="300" w:lineRule="auto"/>
              <w:jc w:val="center"/>
              <w:rPr>
                <w:rFonts w:hint="eastAsia"/>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noWrap w:val="0"/>
            <w:vAlign w:val="center"/>
          </w:tcPr>
          <w:p>
            <w:pPr>
              <w:spacing w:line="320" w:lineRule="exact"/>
              <w:jc w:val="center"/>
              <w:rPr>
                <w:rFonts w:hint="eastAsia" w:ascii="宋体" w:hAnsi="宋体" w:eastAsia="宋体" w:cs="Times New Roman"/>
                <w:kern w:val="2"/>
                <w:sz w:val="21"/>
                <w:szCs w:val="21"/>
                <w:lang w:val="en-US" w:eastAsia="zh-CN" w:bidi="ar-SA"/>
              </w:rPr>
            </w:pPr>
            <w:r>
              <w:rPr>
                <w:rFonts w:hint="eastAsia" w:ascii="宋体" w:hAnsi="宋体"/>
                <w:szCs w:val="21"/>
                <w:lang w:val="en-US" w:eastAsia="zh-CN"/>
              </w:rPr>
              <w:t>2</w:t>
            </w:r>
          </w:p>
        </w:tc>
        <w:tc>
          <w:tcPr>
            <w:tcW w:w="1250" w:type="dxa"/>
            <w:noWrap w:val="0"/>
            <w:vAlign w:val="center"/>
          </w:tcPr>
          <w:p>
            <w:pPr>
              <w:spacing w:line="320" w:lineRule="exact"/>
              <w:jc w:val="center"/>
              <w:rPr>
                <w:rFonts w:hint="default" w:ascii="宋体" w:hAnsi="宋体" w:eastAsia="宋体" w:cs="Times New Roman"/>
                <w:kern w:val="2"/>
                <w:sz w:val="21"/>
                <w:szCs w:val="21"/>
                <w:lang w:val="en-US" w:eastAsia="zh-CN" w:bidi="ar-SA"/>
              </w:rPr>
            </w:pPr>
            <w:r>
              <w:rPr>
                <w:rFonts w:hint="eastAsia" w:ascii="宋体" w:hAnsi="宋体" w:cs="Times New Roman"/>
                <w:kern w:val="2"/>
                <w:sz w:val="21"/>
                <w:szCs w:val="21"/>
                <w:lang w:val="en-US" w:eastAsia="zh-CN" w:bidi="ar-SA"/>
              </w:rPr>
              <w:t>4.1</w:t>
            </w:r>
          </w:p>
        </w:tc>
        <w:tc>
          <w:tcPr>
            <w:tcW w:w="5024" w:type="dxa"/>
            <w:noWrap w:val="0"/>
            <w:vAlign w:val="center"/>
          </w:tcPr>
          <w:p>
            <w:pPr>
              <w:pStyle w:val="21"/>
              <w:widowControl w:val="0"/>
              <w:ind w:left="0" w:leftChars="0" w:firstLine="0" w:firstLineChars="0"/>
              <w:rPr>
                <w:rFonts w:hint="default" w:ascii="宋体" w:hAnsi="宋体" w:eastAsia="宋体" w:cs="Times New Roman"/>
                <w:color w:val="000000"/>
                <w:sz w:val="21"/>
                <w:szCs w:val="21"/>
                <w:lang w:val="en-US" w:eastAsia="zh-CN" w:bidi="ar-SA"/>
              </w:rPr>
            </w:pPr>
            <w:r>
              <w:rPr>
                <w:rFonts w:hint="eastAsia" w:ascii="宋体" w:hAnsi="宋体" w:cs="Times New Roman"/>
                <w:color w:val="000000"/>
                <w:sz w:val="21"/>
                <w:szCs w:val="21"/>
                <w:lang w:val="en-US" w:eastAsia="zh-CN" w:bidi="ar-SA"/>
              </w:rPr>
              <w:t>4.1育苗场地的选择</w:t>
            </w:r>
            <w:r>
              <w:rPr>
                <w:rFonts w:hint="eastAsia" w:hAnsi="宋体" w:cs="Times New Roman"/>
                <w:color w:val="000000"/>
                <w:sz w:val="21"/>
                <w:szCs w:val="21"/>
                <w:lang w:val="en-US" w:eastAsia="zh-CN" w:bidi="ar-SA"/>
              </w:rPr>
              <w:t>中</w:t>
            </w:r>
            <w:r>
              <w:rPr>
                <w:rFonts w:hint="eastAsia" w:ascii="宋体" w:hAnsi="宋体" w:cs="Times New Roman"/>
                <w:color w:val="000000"/>
                <w:sz w:val="21"/>
                <w:szCs w:val="21"/>
                <w:lang w:val="en-US" w:eastAsia="zh-CN" w:bidi="ar-SA"/>
              </w:rPr>
              <w:t>增加“</w:t>
            </w:r>
            <w:r>
              <w:rPr>
                <w:rFonts w:hint="eastAsia" w:hAnsi="宋体" w:cs="Times New Roman"/>
                <w:color w:val="000000"/>
                <w:sz w:val="21"/>
                <w:szCs w:val="21"/>
                <w:lang w:val="en-US" w:eastAsia="zh-CN" w:bidi="ar-SA"/>
              </w:rPr>
              <w:t>设施消毒方法</w:t>
            </w:r>
            <w:r>
              <w:rPr>
                <w:rFonts w:hint="eastAsia" w:ascii="宋体" w:hAnsi="宋体" w:cs="Times New Roman"/>
                <w:color w:val="000000"/>
                <w:sz w:val="21"/>
                <w:szCs w:val="21"/>
                <w:lang w:val="en-US" w:eastAsia="zh-CN" w:bidi="ar-SA"/>
              </w:rPr>
              <w:t>”内容。</w:t>
            </w:r>
          </w:p>
        </w:tc>
        <w:tc>
          <w:tcPr>
            <w:tcW w:w="3082" w:type="dxa"/>
            <w:noWrap w:val="0"/>
            <w:vAlign w:val="center"/>
          </w:tcPr>
          <w:p>
            <w:pPr>
              <w:spacing w:line="320" w:lineRule="exact"/>
              <w:jc w:val="center"/>
              <w:rPr>
                <w:rFonts w:hint="default" w:ascii="宋体" w:hAnsi="宋体" w:eastAsia="宋体" w:cs="Times New Roman"/>
                <w:kern w:val="2"/>
                <w:sz w:val="21"/>
                <w:szCs w:val="21"/>
                <w:lang w:val="en-US" w:eastAsia="zh-CN" w:bidi="ar-SA"/>
              </w:rPr>
            </w:pPr>
            <w:r>
              <w:rPr>
                <w:rFonts w:hint="eastAsia" w:ascii="宋体" w:hAnsi="宋体" w:cs="Times New Roman"/>
                <w:kern w:val="2"/>
                <w:sz w:val="21"/>
                <w:szCs w:val="21"/>
                <w:lang w:val="en-US" w:eastAsia="zh-CN" w:bidi="ar-SA"/>
              </w:rPr>
              <w:t>山西省农产品质量安全中心</w:t>
            </w:r>
          </w:p>
        </w:tc>
        <w:tc>
          <w:tcPr>
            <w:tcW w:w="1643" w:type="dxa"/>
            <w:noWrap w:val="0"/>
            <w:vAlign w:val="center"/>
          </w:tcPr>
          <w:p>
            <w:pPr>
              <w:spacing w:line="320" w:lineRule="exact"/>
              <w:jc w:val="center"/>
              <w:rPr>
                <w:rFonts w:hint="default" w:ascii="宋体" w:hAnsi="宋体"/>
                <w:szCs w:val="21"/>
                <w:lang w:val="en-US" w:eastAsia="zh-CN"/>
              </w:rPr>
            </w:pPr>
            <w:r>
              <w:rPr>
                <w:rFonts w:hint="eastAsia" w:ascii="宋体" w:hAnsi="宋体"/>
                <w:szCs w:val="21"/>
                <w:lang w:val="en-US" w:eastAsia="zh-CN"/>
              </w:rPr>
              <w:t>采纳</w:t>
            </w:r>
          </w:p>
        </w:tc>
        <w:tc>
          <w:tcPr>
            <w:tcW w:w="2363" w:type="dxa"/>
            <w:noWrap w:val="0"/>
            <w:vAlign w:val="center"/>
          </w:tcPr>
          <w:p>
            <w:pPr>
              <w:snapToGrid w:val="0"/>
              <w:spacing w:line="300" w:lineRule="auto"/>
              <w:jc w:val="center"/>
              <w:rPr>
                <w:rFonts w:hint="eastAsia"/>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12" w:type="dxa"/>
            <w:noWrap w:val="0"/>
            <w:vAlign w:val="center"/>
          </w:tcPr>
          <w:p>
            <w:pPr>
              <w:spacing w:line="320" w:lineRule="exact"/>
              <w:jc w:val="center"/>
              <w:rPr>
                <w:rFonts w:hint="eastAsia" w:ascii="宋体" w:hAnsi="宋体" w:eastAsia="宋体"/>
                <w:szCs w:val="21"/>
                <w:lang w:val="en-US" w:eastAsia="zh-CN"/>
              </w:rPr>
            </w:pPr>
            <w:r>
              <w:rPr>
                <w:rFonts w:hint="eastAsia" w:ascii="宋体" w:hAnsi="宋体"/>
                <w:szCs w:val="21"/>
                <w:lang w:val="en-US" w:eastAsia="zh-CN"/>
              </w:rPr>
              <w:t>3</w:t>
            </w:r>
          </w:p>
        </w:tc>
        <w:tc>
          <w:tcPr>
            <w:tcW w:w="1250" w:type="dxa"/>
            <w:noWrap w:val="0"/>
            <w:vAlign w:val="center"/>
          </w:tcPr>
          <w:p>
            <w:pPr>
              <w:spacing w:line="320" w:lineRule="exact"/>
              <w:jc w:val="center"/>
              <w:rPr>
                <w:rFonts w:hint="default" w:ascii="宋体" w:hAnsi="宋体"/>
                <w:szCs w:val="21"/>
                <w:lang w:val="en-US" w:eastAsia="zh-CN"/>
              </w:rPr>
            </w:pPr>
            <w:r>
              <w:rPr>
                <w:rFonts w:hint="eastAsia" w:ascii="宋体" w:hAnsi="宋体"/>
                <w:szCs w:val="21"/>
                <w:lang w:val="en-US" w:eastAsia="zh-CN"/>
              </w:rPr>
              <w:t>5</w:t>
            </w:r>
          </w:p>
        </w:tc>
        <w:tc>
          <w:tcPr>
            <w:tcW w:w="5024" w:type="dxa"/>
            <w:noWrap w:val="0"/>
            <w:vAlign w:val="center"/>
          </w:tcPr>
          <w:p>
            <w:pPr>
              <w:pStyle w:val="21"/>
              <w:widowControl w:val="0"/>
              <w:ind w:left="0" w:leftChars="0" w:firstLine="0" w:firstLineChars="0"/>
              <w:rPr>
                <w:rFonts w:hint="default"/>
                <w:color w:val="000000"/>
                <w:szCs w:val="21"/>
                <w:lang w:val="en-US" w:eastAsia="zh-CN"/>
              </w:rPr>
            </w:pPr>
            <w:r>
              <w:rPr>
                <w:rFonts w:hint="eastAsia"/>
                <w:color w:val="000000"/>
                <w:szCs w:val="21"/>
                <w:lang w:val="en-US" w:eastAsia="zh-CN"/>
              </w:rPr>
              <w:t>4.4基质配制重要详细表述育苗基质各成分比例。</w:t>
            </w:r>
          </w:p>
        </w:tc>
        <w:tc>
          <w:tcPr>
            <w:tcW w:w="3082" w:type="dxa"/>
            <w:noWrap w:val="0"/>
            <w:vAlign w:val="center"/>
          </w:tcPr>
          <w:p>
            <w:pPr>
              <w:spacing w:line="320" w:lineRule="exact"/>
              <w:jc w:val="center"/>
              <w:rPr>
                <w:rFonts w:hint="eastAsia" w:ascii="宋体" w:hAnsi="宋体"/>
                <w:szCs w:val="21"/>
                <w:lang w:eastAsia="zh-CN"/>
              </w:rPr>
            </w:pPr>
            <w:r>
              <w:rPr>
                <w:rFonts w:hint="eastAsia" w:ascii="宋体" w:hAnsi="宋体" w:cs="Times New Roman"/>
                <w:kern w:val="2"/>
                <w:sz w:val="21"/>
                <w:szCs w:val="21"/>
                <w:lang w:val="en-US" w:eastAsia="zh-CN" w:bidi="ar-SA"/>
              </w:rPr>
              <w:t>山西农业大学</w:t>
            </w:r>
          </w:p>
        </w:tc>
        <w:tc>
          <w:tcPr>
            <w:tcW w:w="1643" w:type="dxa"/>
            <w:noWrap w:val="0"/>
            <w:vAlign w:val="center"/>
          </w:tcPr>
          <w:p>
            <w:pPr>
              <w:spacing w:line="320" w:lineRule="exact"/>
              <w:jc w:val="center"/>
              <w:rPr>
                <w:rFonts w:hint="eastAsia" w:ascii="宋体" w:hAnsi="宋体"/>
                <w:szCs w:val="21"/>
                <w:lang w:val="en-US" w:eastAsia="zh-CN"/>
              </w:rPr>
            </w:pPr>
            <w:r>
              <w:rPr>
                <w:rFonts w:hint="eastAsia" w:ascii="宋体" w:hAnsi="宋体"/>
                <w:szCs w:val="21"/>
                <w:lang w:val="en-US" w:eastAsia="zh-CN"/>
              </w:rPr>
              <w:t>采纳</w:t>
            </w:r>
          </w:p>
        </w:tc>
        <w:tc>
          <w:tcPr>
            <w:tcW w:w="2363" w:type="dxa"/>
            <w:noWrap w:val="0"/>
            <w:vAlign w:val="center"/>
          </w:tcPr>
          <w:p>
            <w:pPr>
              <w:snapToGrid w:val="0"/>
              <w:spacing w:line="300" w:lineRule="auto"/>
              <w:jc w:val="center"/>
              <w:rPr>
                <w:rFonts w:hint="eastAsia"/>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noWrap w:val="0"/>
            <w:vAlign w:val="center"/>
          </w:tcPr>
          <w:p>
            <w:pPr>
              <w:spacing w:line="320" w:lineRule="exact"/>
              <w:jc w:val="center"/>
              <w:rPr>
                <w:rFonts w:hint="eastAsia" w:ascii="宋体" w:hAnsi="宋体" w:eastAsia="宋体"/>
                <w:szCs w:val="21"/>
                <w:lang w:val="en-US" w:eastAsia="zh-CN"/>
              </w:rPr>
            </w:pPr>
            <w:r>
              <w:rPr>
                <w:rFonts w:hint="eastAsia" w:ascii="宋体" w:hAnsi="宋体"/>
                <w:szCs w:val="21"/>
                <w:lang w:val="en-US" w:eastAsia="zh-CN"/>
              </w:rPr>
              <w:t>4</w:t>
            </w:r>
          </w:p>
        </w:tc>
        <w:tc>
          <w:tcPr>
            <w:tcW w:w="1250" w:type="dxa"/>
            <w:noWrap w:val="0"/>
            <w:vAlign w:val="center"/>
          </w:tcPr>
          <w:p>
            <w:pPr>
              <w:spacing w:line="320" w:lineRule="exact"/>
              <w:jc w:val="center"/>
              <w:rPr>
                <w:rFonts w:hint="eastAsia" w:ascii="宋体" w:hAnsi="宋体" w:eastAsia="宋体" w:cs="Times New Roman"/>
                <w:kern w:val="2"/>
                <w:sz w:val="21"/>
                <w:szCs w:val="21"/>
                <w:lang w:val="en-US" w:eastAsia="zh-CN" w:bidi="ar-SA"/>
              </w:rPr>
            </w:pPr>
            <w:r>
              <w:rPr>
                <w:rFonts w:hint="eastAsia" w:ascii="宋体" w:hAnsi="宋体"/>
                <w:szCs w:val="21"/>
                <w:lang w:val="en-US" w:eastAsia="zh-CN"/>
              </w:rPr>
              <w:t>全文</w:t>
            </w:r>
          </w:p>
        </w:tc>
        <w:tc>
          <w:tcPr>
            <w:tcW w:w="5024" w:type="dxa"/>
            <w:noWrap w:val="0"/>
            <w:vAlign w:val="center"/>
          </w:tcPr>
          <w:p>
            <w:pPr>
              <w:pStyle w:val="21"/>
              <w:widowControl w:val="0"/>
              <w:ind w:left="0" w:leftChars="0" w:firstLine="0" w:firstLineChars="0"/>
              <w:rPr>
                <w:rFonts w:hint="default" w:ascii="宋体" w:hAnsi="宋体" w:eastAsia="宋体" w:cs="Times New Roman"/>
                <w:color w:val="000000"/>
                <w:sz w:val="21"/>
                <w:szCs w:val="21"/>
                <w:lang w:val="en-US" w:eastAsia="zh-CN" w:bidi="ar-SA"/>
              </w:rPr>
            </w:pPr>
            <w:r>
              <w:rPr>
                <w:rFonts w:hint="eastAsia" w:ascii="宋体" w:hAnsi="Times New Roman" w:eastAsia="宋体" w:cs="Times New Roman"/>
                <w:color w:val="000000"/>
                <w:szCs w:val="21"/>
                <w:lang w:val="en-US" w:eastAsia="zh-CN"/>
              </w:rPr>
              <w:t>文中所有数字之间的“</w:t>
            </w:r>
            <w:r>
              <w:rPr>
                <w:rFonts w:hint="eastAsia" w:hAnsi="Times New Roman" w:eastAsia="宋体" w:cs="Times New Roman"/>
                <w:color w:val="000000"/>
              </w:rPr>
              <w:t>-</w:t>
            </w:r>
            <w:r>
              <w:rPr>
                <w:rFonts w:hint="eastAsia" w:ascii="宋体" w:hAnsi="Times New Roman" w:eastAsia="宋体" w:cs="Times New Roman"/>
                <w:color w:val="000000"/>
                <w:szCs w:val="21"/>
                <w:lang w:val="en-US" w:eastAsia="zh-CN"/>
              </w:rPr>
              <w:t>”均修改为“～”。</w:t>
            </w:r>
          </w:p>
        </w:tc>
        <w:tc>
          <w:tcPr>
            <w:tcW w:w="3082" w:type="dxa"/>
            <w:noWrap w:val="0"/>
            <w:vAlign w:val="center"/>
          </w:tcPr>
          <w:p>
            <w:pPr>
              <w:spacing w:line="320" w:lineRule="exact"/>
              <w:jc w:val="center"/>
              <w:rPr>
                <w:rFonts w:hint="default" w:ascii="宋体" w:hAnsi="宋体" w:eastAsia="宋体" w:cs="Times New Roman"/>
                <w:kern w:val="2"/>
                <w:sz w:val="21"/>
                <w:szCs w:val="21"/>
                <w:lang w:val="en-US" w:eastAsia="zh-CN" w:bidi="ar-SA"/>
              </w:rPr>
            </w:pPr>
            <w:r>
              <w:rPr>
                <w:rFonts w:hint="eastAsia" w:ascii="宋体" w:hAnsi="宋体"/>
                <w:szCs w:val="21"/>
                <w:lang w:eastAsia="zh-CN"/>
              </w:rPr>
              <w:t>山西</w:t>
            </w:r>
            <w:r>
              <w:rPr>
                <w:rFonts w:hint="eastAsia" w:ascii="宋体" w:hAnsi="宋体"/>
                <w:szCs w:val="21"/>
                <w:lang w:val="en-US" w:eastAsia="zh-CN"/>
              </w:rPr>
              <w:t>省检验检测中心</w:t>
            </w:r>
          </w:p>
        </w:tc>
        <w:tc>
          <w:tcPr>
            <w:tcW w:w="1643" w:type="dxa"/>
            <w:noWrap w:val="0"/>
            <w:vAlign w:val="center"/>
          </w:tcPr>
          <w:p>
            <w:pPr>
              <w:spacing w:line="320" w:lineRule="exact"/>
              <w:jc w:val="center"/>
              <w:rPr>
                <w:rFonts w:hint="eastAsia" w:ascii="宋体" w:hAnsi="宋体"/>
                <w:szCs w:val="21"/>
                <w:lang w:val="en-US" w:eastAsia="zh-CN"/>
              </w:rPr>
            </w:pPr>
            <w:r>
              <w:rPr>
                <w:rFonts w:hint="eastAsia" w:ascii="宋体" w:hAnsi="宋体"/>
                <w:szCs w:val="21"/>
                <w:lang w:val="en-US" w:eastAsia="zh-CN"/>
              </w:rPr>
              <w:t>采纳</w:t>
            </w:r>
          </w:p>
        </w:tc>
        <w:tc>
          <w:tcPr>
            <w:tcW w:w="2363" w:type="dxa"/>
            <w:noWrap w:val="0"/>
            <w:vAlign w:val="center"/>
          </w:tcPr>
          <w:p>
            <w:pPr>
              <w:snapToGrid w:val="0"/>
              <w:spacing w:line="300" w:lineRule="auto"/>
              <w:jc w:val="center"/>
              <w:rPr>
                <w:rFonts w:hint="eastAsia"/>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noWrap w:val="0"/>
            <w:vAlign w:val="center"/>
          </w:tcPr>
          <w:p>
            <w:pPr>
              <w:spacing w:line="320" w:lineRule="exact"/>
              <w:jc w:val="center"/>
              <w:rPr>
                <w:rFonts w:hint="eastAsia" w:ascii="宋体" w:hAnsi="宋体" w:eastAsia="宋体"/>
                <w:szCs w:val="21"/>
                <w:lang w:val="en-US" w:eastAsia="zh-CN"/>
              </w:rPr>
            </w:pPr>
            <w:r>
              <w:rPr>
                <w:rFonts w:hint="eastAsia" w:ascii="宋体" w:hAnsi="宋体"/>
                <w:szCs w:val="21"/>
                <w:lang w:val="en-US" w:eastAsia="zh-CN"/>
              </w:rPr>
              <w:t>5</w:t>
            </w:r>
          </w:p>
        </w:tc>
        <w:tc>
          <w:tcPr>
            <w:tcW w:w="1250" w:type="dxa"/>
            <w:noWrap w:val="0"/>
            <w:vAlign w:val="center"/>
          </w:tcPr>
          <w:p>
            <w:pPr>
              <w:spacing w:line="320" w:lineRule="exact"/>
              <w:jc w:val="center"/>
              <w:rPr>
                <w:rFonts w:hint="default" w:ascii="宋体" w:hAnsi="宋体"/>
                <w:szCs w:val="21"/>
                <w:lang w:val="en-US" w:eastAsia="zh-CN"/>
              </w:rPr>
            </w:pPr>
            <w:r>
              <w:rPr>
                <w:rFonts w:hint="eastAsia" w:ascii="宋体" w:hAnsi="宋体"/>
                <w:szCs w:val="21"/>
                <w:lang w:val="en-US" w:eastAsia="zh-CN"/>
              </w:rPr>
              <w:t>7</w:t>
            </w:r>
          </w:p>
        </w:tc>
        <w:tc>
          <w:tcPr>
            <w:tcW w:w="5024" w:type="dxa"/>
            <w:noWrap w:val="0"/>
            <w:vAlign w:val="center"/>
          </w:tcPr>
          <w:p>
            <w:pPr>
              <w:pStyle w:val="21"/>
              <w:widowControl w:val="0"/>
              <w:ind w:left="0" w:leftChars="0" w:firstLine="0" w:firstLineChars="0"/>
              <w:rPr>
                <w:rFonts w:hint="default"/>
                <w:color w:val="000000"/>
                <w:szCs w:val="21"/>
                <w:lang w:val="en-US" w:eastAsia="zh-CN"/>
              </w:rPr>
            </w:pPr>
            <w:r>
              <w:rPr>
                <w:rFonts w:hint="eastAsia"/>
                <w:color w:val="000000"/>
                <w:szCs w:val="21"/>
                <w:lang w:val="en-US" w:eastAsia="zh-CN"/>
              </w:rPr>
              <w:t>增加非嫁接育苗“苗期管理”的内容，对温度、湿度、光照等技术参数进行详细说明。</w:t>
            </w:r>
          </w:p>
        </w:tc>
        <w:tc>
          <w:tcPr>
            <w:tcW w:w="3082" w:type="dxa"/>
            <w:noWrap w:val="0"/>
            <w:vAlign w:val="center"/>
          </w:tcPr>
          <w:p>
            <w:pPr>
              <w:spacing w:line="320" w:lineRule="exact"/>
              <w:jc w:val="center"/>
              <w:rPr>
                <w:rFonts w:hint="eastAsia" w:ascii="宋体" w:hAnsi="宋体" w:eastAsia="宋体" w:cs="Times New Roman"/>
                <w:kern w:val="2"/>
                <w:sz w:val="21"/>
                <w:szCs w:val="21"/>
                <w:lang w:val="en-US" w:eastAsia="zh-CN" w:bidi="ar-SA"/>
              </w:rPr>
            </w:pPr>
            <w:r>
              <w:rPr>
                <w:rFonts w:hint="eastAsia" w:ascii="宋体" w:hAnsi="宋体" w:cs="Times New Roman"/>
                <w:kern w:val="2"/>
                <w:sz w:val="21"/>
                <w:szCs w:val="21"/>
                <w:lang w:val="en-US" w:eastAsia="zh-CN" w:bidi="ar-SA"/>
              </w:rPr>
              <w:t>山西农业大学</w:t>
            </w:r>
          </w:p>
        </w:tc>
        <w:tc>
          <w:tcPr>
            <w:tcW w:w="1643" w:type="dxa"/>
            <w:noWrap w:val="0"/>
            <w:vAlign w:val="center"/>
          </w:tcPr>
          <w:p>
            <w:pPr>
              <w:spacing w:line="320" w:lineRule="exact"/>
              <w:jc w:val="center"/>
              <w:rPr>
                <w:rFonts w:hint="eastAsia" w:ascii="宋体" w:hAnsi="宋体" w:eastAsia="宋体" w:cs="Times New Roman"/>
                <w:kern w:val="2"/>
                <w:sz w:val="21"/>
                <w:szCs w:val="21"/>
                <w:lang w:val="en-US" w:eastAsia="zh-CN" w:bidi="ar-SA"/>
              </w:rPr>
            </w:pPr>
            <w:r>
              <w:rPr>
                <w:rFonts w:hint="eastAsia" w:ascii="宋体" w:hAnsi="宋体"/>
                <w:szCs w:val="21"/>
                <w:lang w:val="en-US" w:eastAsia="zh-CN"/>
              </w:rPr>
              <w:t>采纳</w:t>
            </w:r>
          </w:p>
        </w:tc>
        <w:tc>
          <w:tcPr>
            <w:tcW w:w="2363" w:type="dxa"/>
            <w:noWrap w:val="0"/>
            <w:vAlign w:val="center"/>
          </w:tcPr>
          <w:p>
            <w:pPr>
              <w:snapToGrid w:val="0"/>
              <w:spacing w:line="300" w:lineRule="auto"/>
              <w:jc w:val="center"/>
              <w:rPr>
                <w:rFonts w:hint="eastAsia"/>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noWrap w:val="0"/>
            <w:vAlign w:val="center"/>
          </w:tcPr>
          <w:p>
            <w:pPr>
              <w:spacing w:line="320" w:lineRule="exact"/>
              <w:jc w:val="center"/>
              <w:rPr>
                <w:rFonts w:hint="eastAsia" w:ascii="宋体" w:hAnsi="宋体" w:eastAsia="宋体"/>
                <w:szCs w:val="21"/>
                <w:lang w:val="en-US" w:eastAsia="zh-CN"/>
              </w:rPr>
            </w:pPr>
            <w:r>
              <w:rPr>
                <w:rFonts w:hint="eastAsia" w:ascii="宋体" w:hAnsi="宋体"/>
                <w:szCs w:val="21"/>
                <w:lang w:val="en-US" w:eastAsia="zh-CN"/>
              </w:rPr>
              <w:t>6</w:t>
            </w:r>
          </w:p>
        </w:tc>
        <w:tc>
          <w:tcPr>
            <w:tcW w:w="1250" w:type="dxa"/>
            <w:noWrap w:val="0"/>
            <w:vAlign w:val="center"/>
          </w:tcPr>
          <w:p>
            <w:pPr>
              <w:spacing w:line="320" w:lineRule="exact"/>
              <w:jc w:val="center"/>
              <w:rPr>
                <w:rFonts w:hint="default" w:ascii="宋体" w:hAnsi="宋体"/>
                <w:szCs w:val="21"/>
                <w:lang w:val="en-US" w:eastAsia="zh-CN"/>
              </w:rPr>
            </w:pPr>
            <w:r>
              <w:rPr>
                <w:rFonts w:hint="eastAsia" w:ascii="宋体" w:hAnsi="宋体"/>
                <w:szCs w:val="21"/>
                <w:lang w:val="en-US" w:eastAsia="zh-CN"/>
              </w:rPr>
              <w:t>9</w:t>
            </w:r>
          </w:p>
        </w:tc>
        <w:tc>
          <w:tcPr>
            <w:tcW w:w="5024" w:type="dxa"/>
            <w:noWrap w:val="0"/>
            <w:vAlign w:val="center"/>
          </w:tcPr>
          <w:p>
            <w:pPr>
              <w:pStyle w:val="21"/>
              <w:widowControl w:val="0"/>
              <w:ind w:left="0" w:leftChars="0" w:firstLine="0" w:firstLineChars="0"/>
              <w:rPr>
                <w:rFonts w:hint="default"/>
                <w:color w:val="000000"/>
                <w:szCs w:val="21"/>
                <w:lang w:val="en-US" w:eastAsia="zh-CN"/>
              </w:rPr>
            </w:pPr>
            <w:r>
              <w:rPr>
                <w:rFonts w:hint="eastAsia"/>
                <w:color w:val="000000"/>
                <w:szCs w:val="21"/>
                <w:lang w:val="en-US" w:eastAsia="zh-CN"/>
              </w:rPr>
              <w:t>增加“病虫害防治”章节，对霜霉病、猝倒病等防治措施进行具体描述。</w:t>
            </w:r>
          </w:p>
        </w:tc>
        <w:tc>
          <w:tcPr>
            <w:tcW w:w="3082" w:type="dxa"/>
            <w:noWrap w:val="0"/>
            <w:vAlign w:val="center"/>
          </w:tcPr>
          <w:p>
            <w:pPr>
              <w:spacing w:line="320" w:lineRule="exact"/>
              <w:jc w:val="center"/>
              <w:rPr>
                <w:rFonts w:hint="default" w:ascii="宋体" w:hAnsi="宋体" w:cs="Times New Roman"/>
                <w:kern w:val="2"/>
                <w:sz w:val="21"/>
                <w:szCs w:val="21"/>
                <w:lang w:val="en-US" w:eastAsia="zh-CN" w:bidi="ar-SA"/>
              </w:rPr>
            </w:pPr>
            <w:r>
              <w:rPr>
                <w:rFonts w:hint="eastAsia" w:ascii="宋体" w:hAnsi="宋体" w:cs="Times New Roman"/>
                <w:kern w:val="2"/>
                <w:sz w:val="21"/>
                <w:szCs w:val="21"/>
                <w:lang w:val="en-US" w:eastAsia="zh-CN" w:bidi="ar-SA"/>
              </w:rPr>
              <w:t>山西省植物保护植物检疫中心</w:t>
            </w:r>
          </w:p>
        </w:tc>
        <w:tc>
          <w:tcPr>
            <w:tcW w:w="1643" w:type="dxa"/>
            <w:noWrap w:val="0"/>
            <w:vAlign w:val="center"/>
          </w:tcPr>
          <w:p>
            <w:pPr>
              <w:spacing w:line="320" w:lineRule="exact"/>
              <w:jc w:val="center"/>
              <w:rPr>
                <w:rFonts w:hint="eastAsia" w:ascii="宋体" w:hAnsi="宋体"/>
                <w:szCs w:val="21"/>
                <w:lang w:val="en-US" w:eastAsia="zh-CN"/>
              </w:rPr>
            </w:pPr>
            <w:r>
              <w:rPr>
                <w:rFonts w:hint="eastAsia" w:ascii="宋体" w:hAnsi="宋体"/>
                <w:szCs w:val="21"/>
                <w:lang w:val="en-US" w:eastAsia="zh-CN"/>
              </w:rPr>
              <w:t>采纳</w:t>
            </w:r>
          </w:p>
        </w:tc>
        <w:tc>
          <w:tcPr>
            <w:tcW w:w="2363" w:type="dxa"/>
            <w:noWrap w:val="0"/>
            <w:vAlign w:val="center"/>
          </w:tcPr>
          <w:p>
            <w:pPr>
              <w:snapToGrid w:val="0"/>
              <w:spacing w:line="300" w:lineRule="auto"/>
              <w:jc w:val="center"/>
              <w:rPr>
                <w:rFonts w:hint="eastAsia"/>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12" w:type="dxa"/>
            <w:noWrap w:val="0"/>
            <w:vAlign w:val="center"/>
          </w:tcPr>
          <w:p>
            <w:pPr>
              <w:spacing w:line="320" w:lineRule="exact"/>
              <w:jc w:val="center"/>
              <w:rPr>
                <w:rFonts w:hint="eastAsia" w:ascii="宋体" w:hAnsi="宋体" w:eastAsia="宋体"/>
                <w:szCs w:val="21"/>
                <w:lang w:val="en-US" w:eastAsia="zh-CN"/>
              </w:rPr>
            </w:pPr>
            <w:r>
              <w:rPr>
                <w:rFonts w:hint="eastAsia" w:ascii="宋体" w:hAnsi="宋体"/>
                <w:szCs w:val="21"/>
                <w:lang w:val="en-US" w:eastAsia="zh-CN"/>
              </w:rPr>
              <w:t>7</w:t>
            </w:r>
          </w:p>
        </w:tc>
        <w:tc>
          <w:tcPr>
            <w:tcW w:w="1250" w:type="dxa"/>
            <w:noWrap w:val="0"/>
            <w:vAlign w:val="center"/>
          </w:tcPr>
          <w:p>
            <w:pPr>
              <w:spacing w:line="320" w:lineRule="exact"/>
              <w:jc w:val="center"/>
              <w:rPr>
                <w:rFonts w:hint="default" w:ascii="宋体" w:hAnsi="宋体"/>
                <w:szCs w:val="21"/>
                <w:lang w:val="en-US" w:eastAsia="zh-CN"/>
              </w:rPr>
            </w:pPr>
            <w:r>
              <w:rPr>
                <w:rFonts w:hint="eastAsia" w:ascii="宋体" w:hAnsi="宋体"/>
                <w:szCs w:val="21"/>
                <w:lang w:val="en-US" w:eastAsia="zh-CN"/>
              </w:rPr>
              <w:t>全文</w:t>
            </w:r>
          </w:p>
        </w:tc>
        <w:tc>
          <w:tcPr>
            <w:tcW w:w="5024" w:type="dxa"/>
            <w:noWrap w:val="0"/>
            <w:vAlign w:val="center"/>
          </w:tcPr>
          <w:p>
            <w:pPr>
              <w:pStyle w:val="21"/>
              <w:widowControl w:val="0"/>
              <w:ind w:left="0" w:leftChars="0" w:firstLine="0" w:firstLineChars="0"/>
              <w:rPr>
                <w:rFonts w:hint="default"/>
                <w:color w:val="000000"/>
                <w:szCs w:val="21"/>
                <w:lang w:val="en-US" w:eastAsia="zh-CN"/>
              </w:rPr>
            </w:pPr>
            <w:r>
              <w:rPr>
                <w:rFonts w:hint="eastAsia"/>
                <w:color w:val="000000"/>
                <w:szCs w:val="21"/>
                <w:lang w:val="en-US" w:eastAsia="zh-CN"/>
              </w:rPr>
              <w:t>所有章节内容语言进行精简和提炼，减少说明性语言。</w:t>
            </w:r>
          </w:p>
        </w:tc>
        <w:tc>
          <w:tcPr>
            <w:tcW w:w="3082" w:type="dxa"/>
            <w:noWrap w:val="0"/>
            <w:vAlign w:val="center"/>
          </w:tcPr>
          <w:p>
            <w:pPr>
              <w:spacing w:line="320" w:lineRule="exact"/>
              <w:jc w:val="center"/>
              <w:rPr>
                <w:rFonts w:hint="eastAsia" w:ascii="宋体" w:hAnsi="宋体" w:eastAsia="宋体" w:cs="Times New Roman"/>
                <w:kern w:val="2"/>
                <w:sz w:val="21"/>
                <w:szCs w:val="21"/>
                <w:lang w:val="en-US" w:eastAsia="zh-CN" w:bidi="ar-SA"/>
              </w:rPr>
            </w:pPr>
            <w:r>
              <w:rPr>
                <w:rFonts w:hint="eastAsia" w:ascii="宋体" w:hAnsi="宋体"/>
                <w:szCs w:val="21"/>
                <w:lang w:eastAsia="zh-CN"/>
              </w:rPr>
              <w:t>山西农业大学</w:t>
            </w:r>
          </w:p>
        </w:tc>
        <w:tc>
          <w:tcPr>
            <w:tcW w:w="1643" w:type="dxa"/>
            <w:noWrap w:val="0"/>
            <w:vAlign w:val="center"/>
          </w:tcPr>
          <w:p>
            <w:pPr>
              <w:spacing w:line="320" w:lineRule="exact"/>
              <w:jc w:val="center"/>
              <w:rPr>
                <w:rFonts w:hint="eastAsia" w:ascii="宋体" w:hAnsi="宋体" w:eastAsia="宋体" w:cs="Times New Roman"/>
                <w:kern w:val="2"/>
                <w:sz w:val="21"/>
                <w:szCs w:val="21"/>
                <w:lang w:val="en-US" w:eastAsia="zh-CN" w:bidi="ar-SA"/>
              </w:rPr>
            </w:pPr>
            <w:r>
              <w:rPr>
                <w:rFonts w:hint="eastAsia" w:ascii="宋体" w:hAnsi="宋体"/>
                <w:szCs w:val="21"/>
                <w:lang w:val="en-US" w:eastAsia="zh-CN"/>
              </w:rPr>
              <w:t>采纳</w:t>
            </w:r>
          </w:p>
        </w:tc>
        <w:tc>
          <w:tcPr>
            <w:tcW w:w="2363" w:type="dxa"/>
            <w:noWrap w:val="0"/>
            <w:vAlign w:val="center"/>
          </w:tcPr>
          <w:p>
            <w:pPr>
              <w:snapToGrid w:val="0"/>
              <w:spacing w:line="300" w:lineRule="auto"/>
              <w:jc w:val="center"/>
              <w:rPr>
                <w:rFonts w:hint="eastAsia"/>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noWrap w:val="0"/>
            <w:vAlign w:val="center"/>
          </w:tcPr>
          <w:p>
            <w:pPr>
              <w:spacing w:line="320" w:lineRule="exact"/>
              <w:jc w:val="center"/>
              <w:rPr>
                <w:rFonts w:hint="default" w:ascii="宋体" w:hAnsi="宋体" w:eastAsia="宋体"/>
                <w:szCs w:val="21"/>
                <w:lang w:val="en-US" w:eastAsia="zh-CN"/>
              </w:rPr>
            </w:pPr>
            <w:r>
              <w:rPr>
                <w:rFonts w:hint="eastAsia" w:ascii="宋体" w:hAnsi="宋体"/>
                <w:szCs w:val="21"/>
                <w:lang w:val="en-US" w:eastAsia="zh-CN"/>
              </w:rPr>
              <w:t>8</w:t>
            </w:r>
          </w:p>
        </w:tc>
        <w:tc>
          <w:tcPr>
            <w:tcW w:w="1250" w:type="dxa"/>
            <w:noWrap w:val="0"/>
            <w:vAlign w:val="center"/>
          </w:tcPr>
          <w:p>
            <w:pPr>
              <w:spacing w:line="320" w:lineRule="exact"/>
              <w:jc w:val="center"/>
              <w:rPr>
                <w:rFonts w:hint="default" w:ascii="宋体" w:hAnsi="宋体"/>
                <w:szCs w:val="21"/>
                <w:lang w:val="en-US" w:eastAsia="zh-CN"/>
              </w:rPr>
            </w:pPr>
            <w:r>
              <w:rPr>
                <w:rFonts w:hint="eastAsia" w:ascii="宋体" w:hAnsi="宋体"/>
                <w:szCs w:val="21"/>
                <w:lang w:val="en-US" w:eastAsia="zh-CN"/>
              </w:rPr>
              <w:t>7.4</w:t>
            </w:r>
          </w:p>
        </w:tc>
        <w:tc>
          <w:tcPr>
            <w:tcW w:w="5024" w:type="dxa"/>
            <w:noWrap w:val="0"/>
            <w:vAlign w:val="center"/>
          </w:tcPr>
          <w:p>
            <w:pPr>
              <w:pStyle w:val="21"/>
              <w:widowControl w:val="0"/>
              <w:ind w:left="0" w:leftChars="0" w:firstLine="0" w:firstLineChars="0"/>
              <w:rPr>
                <w:rFonts w:hint="default"/>
                <w:color w:val="000000"/>
                <w:szCs w:val="21"/>
                <w:lang w:val="en-US" w:eastAsia="zh-CN"/>
              </w:rPr>
            </w:pPr>
            <w:r>
              <w:rPr>
                <w:rFonts w:hint="eastAsia"/>
                <w:color w:val="000000"/>
                <w:szCs w:val="21"/>
                <w:lang w:val="en-US" w:eastAsia="zh-CN"/>
              </w:rPr>
              <w:t>增加“花芽分化调控”相关内容，花芽调控是瓜类育苗中核心技术，要进行详细的说明。</w:t>
            </w:r>
          </w:p>
        </w:tc>
        <w:tc>
          <w:tcPr>
            <w:tcW w:w="3082" w:type="dxa"/>
            <w:noWrap w:val="0"/>
            <w:vAlign w:val="center"/>
          </w:tcPr>
          <w:p>
            <w:pPr>
              <w:spacing w:line="320" w:lineRule="exact"/>
              <w:jc w:val="center"/>
              <w:rPr>
                <w:rFonts w:hint="eastAsia" w:ascii="宋体" w:hAnsi="宋体" w:eastAsia="宋体" w:cs="Times New Roman"/>
                <w:kern w:val="2"/>
                <w:sz w:val="21"/>
                <w:szCs w:val="21"/>
                <w:lang w:val="en-US" w:eastAsia="zh-CN" w:bidi="ar-SA"/>
              </w:rPr>
            </w:pPr>
            <w:r>
              <w:rPr>
                <w:rFonts w:hint="eastAsia" w:ascii="宋体" w:hAnsi="宋体" w:cs="Times New Roman"/>
                <w:kern w:val="2"/>
                <w:sz w:val="21"/>
                <w:szCs w:val="21"/>
                <w:lang w:val="en-US" w:eastAsia="zh-CN" w:bidi="ar-SA"/>
              </w:rPr>
              <w:t>山西农业大学</w:t>
            </w:r>
          </w:p>
        </w:tc>
        <w:tc>
          <w:tcPr>
            <w:tcW w:w="1643" w:type="dxa"/>
            <w:noWrap w:val="0"/>
            <w:vAlign w:val="center"/>
          </w:tcPr>
          <w:p>
            <w:pPr>
              <w:spacing w:line="320" w:lineRule="exact"/>
              <w:jc w:val="center"/>
              <w:rPr>
                <w:rFonts w:hint="eastAsia" w:ascii="宋体" w:hAnsi="宋体" w:eastAsia="宋体" w:cs="Times New Roman"/>
                <w:kern w:val="2"/>
                <w:sz w:val="21"/>
                <w:szCs w:val="21"/>
                <w:lang w:val="en-US" w:eastAsia="zh-CN" w:bidi="ar-SA"/>
              </w:rPr>
            </w:pPr>
            <w:r>
              <w:rPr>
                <w:rFonts w:hint="eastAsia" w:ascii="宋体" w:hAnsi="宋体"/>
                <w:szCs w:val="21"/>
                <w:lang w:val="en-US" w:eastAsia="zh-CN"/>
              </w:rPr>
              <w:t>采纳</w:t>
            </w:r>
          </w:p>
        </w:tc>
        <w:tc>
          <w:tcPr>
            <w:tcW w:w="2363" w:type="dxa"/>
            <w:noWrap w:val="0"/>
            <w:vAlign w:val="center"/>
          </w:tcPr>
          <w:p>
            <w:pPr>
              <w:snapToGrid w:val="0"/>
              <w:spacing w:line="300" w:lineRule="auto"/>
              <w:jc w:val="center"/>
              <w:rPr>
                <w:rFonts w:hint="eastAsia"/>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gridSpan w:val="6"/>
            <w:noWrap w:val="0"/>
            <w:vAlign w:val="center"/>
          </w:tcPr>
          <w:p>
            <w:pPr>
              <w:keepNext w:val="0"/>
              <w:keepLines w:val="0"/>
              <w:widowControl/>
              <w:suppressLineNumbers w:val="0"/>
              <w:jc w:val="left"/>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说明：</w:t>
            </w:r>
            <w:r>
              <w:rPr>
                <w:rFonts w:ascii="Calibri" w:hAnsi="Calibri" w:eastAsia="宋体" w:cs="Calibri"/>
                <w:color w:val="000000"/>
                <w:kern w:val="0"/>
                <w:sz w:val="18"/>
                <w:szCs w:val="18"/>
                <w:lang w:val="en-US" w:eastAsia="zh-CN" w:bidi="ar"/>
              </w:rPr>
              <w:t>1</w:t>
            </w:r>
            <w:r>
              <w:rPr>
                <w:rFonts w:hint="eastAsia" w:ascii="宋体" w:hAnsi="宋体" w:eastAsia="宋体" w:cs="宋体"/>
                <w:color w:val="000000"/>
                <w:kern w:val="0"/>
                <w:sz w:val="18"/>
                <w:szCs w:val="18"/>
                <w:lang w:val="en-US" w:eastAsia="zh-CN" w:bidi="ar"/>
              </w:rPr>
              <w:t>、针对明确回复无意见的单位，请在“意见内容”中注明无意见，在“提出单位”中列出无意见单位的名称。</w:t>
            </w:r>
          </w:p>
          <w:p>
            <w:pPr>
              <w:tabs>
                <w:tab w:val="left" w:pos="2052"/>
              </w:tabs>
              <w:snapToGrid w:val="0"/>
              <w:spacing w:line="300" w:lineRule="auto"/>
              <w:jc w:val="left"/>
              <w:rPr>
                <w:rFonts w:hint="eastAsia" w:eastAsia="宋体"/>
                <w:color w:val="000000"/>
                <w:sz w:val="21"/>
                <w:szCs w:val="21"/>
                <w:lang w:eastAsia="zh-CN"/>
              </w:rPr>
            </w:pPr>
            <w:r>
              <w:rPr>
                <w:rFonts w:hint="default" w:ascii="Calibri" w:hAnsi="Calibri" w:eastAsia="宋体" w:cs="Calibri"/>
                <w:color w:val="000000"/>
                <w:kern w:val="0"/>
                <w:sz w:val="18"/>
                <w:szCs w:val="18"/>
                <w:lang w:val="en-US" w:eastAsia="zh-CN" w:bidi="ar"/>
              </w:rPr>
              <w:t>2</w:t>
            </w:r>
            <w:r>
              <w:rPr>
                <w:rFonts w:hint="eastAsia" w:ascii="宋体" w:hAnsi="宋体" w:eastAsia="宋体" w:cs="宋体"/>
                <w:color w:val="000000"/>
                <w:kern w:val="0"/>
                <w:sz w:val="18"/>
                <w:szCs w:val="18"/>
                <w:lang w:val="en-US" w:eastAsia="zh-CN" w:bidi="ar"/>
              </w:rPr>
              <w:t>、发送征求意见稿单位数</w:t>
            </w:r>
            <w:r>
              <w:rPr>
                <w:rFonts w:hint="eastAsia" w:ascii="Calibri" w:hAnsi="Calibri" w:cs="Calibri"/>
                <w:color w:val="000000"/>
                <w:kern w:val="0"/>
                <w:sz w:val="18"/>
                <w:szCs w:val="18"/>
                <w:lang w:val="en-US" w:eastAsia="zh-CN" w:bidi="ar"/>
              </w:rPr>
              <w:t>4</w:t>
            </w:r>
            <w:r>
              <w:rPr>
                <w:rFonts w:hint="eastAsia" w:ascii="宋体" w:hAnsi="宋体" w:eastAsia="宋体" w:cs="宋体"/>
                <w:color w:val="000000"/>
                <w:kern w:val="0"/>
                <w:sz w:val="18"/>
                <w:szCs w:val="18"/>
                <w:lang w:val="en-US" w:eastAsia="zh-CN" w:bidi="ar"/>
              </w:rPr>
              <w:t>个；回到征求意见稿回函的单位数</w:t>
            </w:r>
            <w:r>
              <w:rPr>
                <w:rFonts w:hint="eastAsia" w:ascii="宋体" w:hAnsi="宋体" w:cs="宋体"/>
                <w:color w:val="000000"/>
                <w:kern w:val="0"/>
                <w:sz w:val="18"/>
                <w:szCs w:val="18"/>
                <w:lang w:val="en-US" w:eastAsia="zh-CN" w:bidi="ar"/>
              </w:rPr>
              <w:t>4</w:t>
            </w:r>
            <w:r>
              <w:rPr>
                <w:rFonts w:hint="eastAsia" w:ascii="宋体" w:hAnsi="宋体" w:eastAsia="宋体" w:cs="宋体"/>
                <w:color w:val="000000"/>
                <w:kern w:val="0"/>
                <w:sz w:val="18"/>
                <w:szCs w:val="18"/>
                <w:lang w:val="en-US" w:eastAsia="zh-CN" w:bidi="ar"/>
              </w:rPr>
              <w:t>个；收到征求意见稿并提出意见的单位数</w:t>
            </w:r>
            <w:r>
              <w:rPr>
                <w:rFonts w:hint="eastAsia" w:ascii="宋体" w:hAnsi="宋体" w:cs="宋体"/>
                <w:color w:val="000000"/>
                <w:kern w:val="0"/>
                <w:sz w:val="18"/>
                <w:szCs w:val="18"/>
                <w:lang w:val="en-US" w:eastAsia="zh-CN" w:bidi="ar"/>
              </w:rPr>
              <w:t>4</w:t>
            </w:r>
            <w:r>
              <w:rPr>
                <w:rFonts w:hint="eastAsia" w:ascii="宋体" w:hAnsi="宋体" w:eastAsia="宋体" w:cs="宋体"/>
                <w:color w:val="000000"/>
                <w:kern w:val="0"/>
                <w:sz w:val="18"/>
                <w:szCs w:val="18"/>
                <w:lang w:val="en-US" w:eastAsia="zh-CN" w:bidi="ar"/>
              </w:rPr>
              <w:t>个；共收到</w:t>
            </w:r>
            <w:r>
              <w:rPr>
                <w:rFonts w:hint="eastAsia" w:ascii="宋体" w:hAnsi="宋体" w:cs="宋体"/>
                <w:color w:val="000000"/>
                <w:kern w:val="0"/>
                <w:sz w:val="18"/>
                <w:szCs w:val="18"/>
                <w:lang w:val="en-US" w:eastAsia="zh-CN" w:bidi="ar"/>
              </w:rPr>
              <w:t>8</w:t>
            </w:r>
            <w:r>
              <w:rPr>
                <w:rFonts w:hint="eastAsia" w:ascii="宋体" w:hAnsi="宋体" w:eastAsia="宋体" w:cs="宋体"/>
                <w:color w:val="000000"/>
                <w:kern w:val="0"/>
                <w:sz w:val="18"/>
                <w:szCs w:val="18"/>
                <w:lang w:val="en-US" w:eastAsia="zh-CN" w:bidi="ar"/>
              </w:rPr>
              <w:t>条意见，采纳</w:t>
            </w:r>
            <w:r>
              <w:rPr>
                <w:rFonts w:hint="eastAsia" w:ascii="Calibri" w:hAnsi="Calibri" w:cs="Calibri"/>
                <w:color w:val="000000"/>
                <w:kern w:val="0"/>
                <w:sz w:val="18"/>
                <w:szCs w:val="18"/>
                <w:lang w:val="en-US" w:eastAsia="zh-CN" w:bidi="ar"/>
              </w:rPr>
              <w:t>8</w:t>
            </w:r>
            <w:r>
              <w:rPr>
                <w:rFonts w:hint="eastAsia" w:ascii="宋体" w:hAnsi="宋体" w:eastAsia="宋体" w:cs="宋体"/>
                <w:color w:val="000000"/>
                <w:kern w:val="0"/>
                <w:sz w:val="18"/>
                <w:szCs w:val="18"/>
                <w:lang w:val="en-US" w:eastAsia="zh-CN" w:bidi="ar"/>
              </w:rPr>
              <w:t>条意见</w:t>
            </w:r>
            <w:r>
              <w:rPr>
                <w:rFonts w:hint="eastAsia" w:ascii="宋体" w:hAnsi="宋体" w:cs="宋体"/>
                <w:color w:val="000000"/>
                <w:kern w:val="0"/>
                <w:sz w:val="18"/>
                <w:szCs w:val="18"/>
                <w:lang w:val="en-US" w:eastAsia="zh-CN" w:bidi="ar"/>
              </w:rPr>
              <w:t>。</w:t>
            </w:r>
          </w:p>
        </w:tc>
      </w:tr>
    </w:tbl>
    <w:p>
      <w:pPr>
        <w:tabs>
          <w:tab w:val="left" w:pos="11340"/>
        </w:tabs>
        <w:ind w:firstLine="602"/>
        <w:jc w:val="center"/>
        <w:rPr>
          <w:rFonts w:hint="default" w:ascii="宋体" w:hAnsi="宋体"/>
          <w:b/>
          <w:sz w:val="32"/>
          <w:szCs w:val="32"/>
          <w:lang w:val="en-US" w:eastAsia="zh-CN"/>
        </w:rPr>
      </w:pPr>
    </w:p>
    <w:sectPr>
      <w:pgSz w:w="16838" w:h="11906" w:orient="landscape"/>
      <w:pgMar w:top="1803" w:right="1440" w:bottom="1803" w:left="1440" w:header="851" w:footer="992" w:gutter="0"/>
      <w:pgNumType w:start="1"/>
      <w:cols w:space="0" w:num="1"/>
      <w:titlePg/>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altName w:val="方正仿宋_GBK"/>
    <w:panose1 w:val="02010609030101010101"/>
    <w:charset w:val="86"/>
    <w:family w:val="modern"/>
    <w:pitch w:val="default"/>
    <w:sig w:usb0="00000000" w:usb1="00000000" w:usb2="00000000" w:usb3="00000000" w:csb0="00040000" w:csb1="00000000"/>
  </w:font>
  <w:font w:name="Mangal">
    <w:altName w:val="Noto Sans Syriac Eastern"/>
    <w:panose1 w:val="02040503050203030202"/>
    <w:charset w:val="01"/>
    <w:family w:val="roman"/>
    <w:pitch w:val="default"/>
    <w:sig w:usb0="00000000" w:usb1="00000000" w:usb2="00000000" w:usb3="00000000" w:csb0="00000001" w:csb1="00000000"/>
  </w:font>
  <w:font w:name="仿宋">
    <w:altName w:val="方正仿宋_GBK"/>
    <w:panose1 w:val="02010609060101010101"/>
    <w:charset w:val="86"/>
    <w:family w:val="modern"/>
    <w:pitch w:val="default"/>
    <w:sig w:usb0="00000000" w:usb1="00000000" w:usb2="00000016" w:usb3="00000000" w:csb0="00040001" w:csb1="00000000"/>
  </w:font>
  <w:font w:name="楷体_GB2312">
    <w:altName w:val="方正楷体_GBK"/>
    <w:panose1 w:val="02010609030101010101"/>
    <w:charset w:val="86"/>
    <w:family w:val="modern"/>
    <w:pitch w:val="default"/>
    <w:sig w:usb0="00000000" w:usb1="0000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楷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fldChar w:fldCharType="begin"/>
    </w:r>
    <w:r>
      <w:instrText xml:space="preserve">PAGE   \* MERGEFORMAT</w:instrText>
    </w:r>
    <w:r>
      <w:fldChar w:fldCharType="separate"/>
    </w:r>
    <w:r>
      <w:rPr>
        <w:lang w:val="zh-CN"/>
      </w:rPr>
      <w:t>2</w:t>
    </w:r>
    <w:r>
      <w:fldChar w:fldCharType="end"/>
    </w:r>
  </w:p>
  <w:p>
    <w:pPr>
      <w:pStyle w:val="11"/>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32"/>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33"/>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60B55DC2"/>
    <w:multiLevelType w:val="multilevel"/>
    <w:tmpl w:val="60B55DC2"/>
    <w:lvl w:ilvl="0" w:tentative="0">
      <w:start w:val="1"/>
      <w:numFmt w:val="upperLetter"/>
      <w:lvlText w:val="%1"/>
      <w:lvlJc w:val="left"/>
      <w:pPr>
        <w:tabs>
          <w:tab w:val="left" w:pos="0"/>
        </w:tabs>
        <w:ind w:left="0" w:hanging="425"/>
      </w:pPr>
      <w:rPr>
        <w:rFonts w:hint="eastAsia"/>
      </w:rPr>
    </w:lvl>
    <w:lvl w:ilvl="1" w:tentative="0">
      <w:start w:val="1"/>
      <w:numFmt w:val="decimal"/>
      <w:pStyle w:val="34"/>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false"/>
  <w:bordersDoNotSurroundFooter w:val="false"/>
  <w:doNotTrackMoves/>
  <w:documentProtection w:enforcement="0"/>
  <w:defaultTabStop w:val="420"/>
  <w:drawingGridHorizontalSpacing w:val="105"/>
  <w:drawingGridVerticalSpacing w:val="159"/>
  <w:displayHorizontalDrawingGridEvery w:val="1"/>
  <w:displayVerticalDrawingGridEvery w:val="1"/>
  <w:noPunctuationKerning w:val="true"/>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I3MTlkNTlhZGRjN2Y0ZTU2MDhlOGM4Y2FiZjE5YTEifQ=="/>
  </w:docVars>
  <w:rsids>
    <w:rsidRoot w:val="00636FC5"/>
    <w:rsid w:val="00001C9C"/>
    <w:rsid w:val="00002121"/>
    <w:rsid w:val="00003D4E"/>
    <w:rsid w:val="0001430A"/>
    <w:rsid w:val="000173E8"/>
    <w:rsid w:val="000203B7"/>
    <w:rsid w:val="00021FC1"/>
    <w:rsid w:val="00024D73"/>
    <w:rsid w:val="00025BA5"/>
    <w:rsid w:val="00035FEB"/>
    <w:rsid w:val="000443C0"/>
    <w:rsid w:val="00045395"/>
    <w:rsid w:val="00045C4C"/>
    <w:rsid w:val="000471FB"/>
    <w:rsid w:val="00051B0A"/>
    <w:rsid w:val="00054BA0"/>
    <w:rsid w:val="00061514"/>
    <w:rsid w:val="00073F3B"/>
    <w:rsid w:val="000754B9"/>
    <w:rsid w:val="00080D84"/>
    <w:rsid w:val="00087B70"/>
    <w:rsid w:val="0009360F"/>
    <w:rsid w:val="0009699A"/>
    <w:rsid w:val="000974DE"/>
    <w:rsid w:val="000A23F9"/>
    <w:rsid w:val="000A281F"/>
    <w:rsid w:val="000B59DE"/>
    <w:rsid w:val="000C1548"/>
    <w:rsid w:val="000C203B"/>
    <w:rsid w:val="000C24FA"/>
    <w:rsid w:val="000C2F16"/>
    <w:rsid w:val="000C3919"/>
    <w:rsid w:val="000C5AE1"/>
    <w:rsid w:val="000C62FE"/>
    <w:rsid w:val="000D7E22"/>
    <w:rsid w:val="000E0029"/>
    <w:rsid w:val="000E0518"/>
    <w:rsid w:val="000E5DDF"/>
    <w:rsid w:val="00104D9E"/>
    <w:rsid w:val="001079E4"/>
    <w:rsid w:val="00114B28"/>
    <w:rsid w:val="00136B80"/>
    <w:rsid w:val="00140883"/>
    <w:rsid w:val="001422D2"/>
    <w:rsid w:val="00142DCA"/>
    <w:rsid w:val="001451F2"/>
    <w:rsid w:val="00153E55"/>
    <w:rsid w:val="00155235"/>
    <w:rsid w:val="0016381F"/>
    <w:rsid w:val="0016534D"/>
    <w:rsid w:val="001653E3"/>
    <w:rsid w:val="001657F4"/>
    <w:rsid w:val="00184DC2"/>
    <w:rsid w:val="00195264"/>
    <w:rsid w:val="001A0041"/>
    <w:rsid w:val="001A0916"/>
    <w:rsid w:val="001C0311"/>
    <w:rsid w:val="001C1B81"/>
    <w:rsid w:val="001C2BE8"/>
    <w:rsid w:val="001C3ACE"/>
    <w:rsid w:val="001D06C4"/>
    <w:rsid w:val="001D0957"/>
    <w:rsid w:val="001D7128"/>
    <w:rsid w:val="001E486F"/>
    <w:rsid w:val="001F695E"/>
    <w:rsid w:val="001F7C13"/>
    <w:rsid w:val="001F7CF9"/>
    <w:rsid w:val="0020132D"/>
    <w:rsid w:val="002042E4"/>
    <w:rsid w:val="00211530"/>
    <w:rsid w:val="00213570"/>
    <w:rsid w:val="00217A11"/>
    <w:rsid w:val="002216A8"/>
    <w:rsid w:val="00226A9A"/>
    <w:rsid w:val="00226FD3"/>
    <w:rsid w:val="00227FEE"/>
    <w:rsid w:val="00230DF6"/>
    <w:rsid w:val="00233658"/>
    <w:rsid w:val="00233B76"/>
    <w:rsid w:val="00243164"/>
    <w:rsid w:val="00243B8F"/>
    <w:rsid w:val="00243DA6"/>
    <w:rsid w:val="00243E19"/>
    <w:rsid w:val="00247BC6"/>
    <w:rsid w:val="002508ED"/>
    <w:rsid w:val="00252DE5"/>
    <w:rsid w:val="002606D8"/>
    <w:rsid w:val="00261187"/>
    <w:rsid w:val="00267EEC"/>
    <w:rsid w:val="00270C24"/>
    <w:rsid w:val="00273B1D"/>
    <w:rsid w:val="002746DC"/>
    <w:rsid w:val="00277378"/>
    <w:rsid w:val="00277EC1"/>
    <w:rsid w:val="0028564F"/>
    <w:rsid w:val="00285ABA"/>
    <w:rsid w:val="002B52FE"/>
    <w:rsid w:val="002B6A3E"/>
    <w:rsid w:val="002B7335"/>
    <w:rsid w:val="002C169F"/>
    <w:rsid w:val="002C3C6B"/>
    <w:rsid w:val="002D3E11"/>
    <w:rsid w:val="002E04E6"/>
    <w:rsid w:val="002E5A2F"/>
    <w:rsid w:val="003024F7"/>
    <w:rsid w:val="0031028C"/>
    <w:rsid w:val="003150DE"/>
    <w:rsid w:val="00315657"/>
    <w:rsid w:val="003158E5"/>
    <w:rsid w:val="003221E9"/>
    <w:rsid w:val="003259EC"/>
    <w:rsid w:val="00330396"/>
    <w:rsid w:val="003311E6"/>
    <w:rsid w:val="00332318"/>
    <w:rsid w:val="0033472D"/>
    <w:rsid w:val="00336488"/>
    <w:rsid w:val="00342A32"/>
    <w:rsid w:val="003439A2"/>
    <w:rsid w:val="00344D61"/>
    <w:rsid w:val="003469EC"/>
    <w:rsid w:val="00347085"/>
    <w:rsid w:val="003509C0"/>
    <w:rsid w:val="003556E4"/>
    <w:rsid w:val="0036351B"/>
    <w:rsid w:val="00366032"/>
    <w:rsid w:val="003705E8"/>
    <w:rsid w:val="00371543"/>
    <w:rsid w:val="003716D4"/>
    <w:rsid w:val="003925B2"/>
    <w:rsid w:val="00394B25"/>
    <w:rsid w:val="0039560A"/>
    <w:rsid w:val="003A21FE"/>
    <w:rsid w:val="003A5C65"/>
    <w:rsid w:val="003B0DE6"/>
    <w:rsid w:val="003B17F4"/>
    <w:rsid w:val="003B1D77"/>
    <w:rsid w:val="003B7D6F"/>
    <w:rsid w:val="003C3911"/>
    <w:rsid w:val="003D3463"/>
    <w:rsid w:val="003D528A"/>
    <w:rsid w:val="003D6374"/>
    <w:rsid w:val="003D6FB0"/>
    <w:rsid w:val="003E0207"/>
    <w:rsid w:val="003E24D6"/>
    <w:rsid w:val="003E2D3A"/>
    <w:rsid w:val="003F035B"/>
    <w:rsid w:val="003F1FC6"/>
    <w:rsid w:val="003F3EBE"/>
    <w:rsid w:val="00402952"/>
    <w:rsid w:val="004047A2"/>
    <w:rsid w:val="00404C7A"/>
    <w:rsid w:val="00407C56"/>
    <w:rsid w:val="00410C0E"/>
    <w:rsid w:val="00420EB4"/>
    <w:rsid w:val="004240E3"/>
    <w:rsid w:val="00433525"/>
    <w:rsid w:val="00435EF8"/>
    <w:rsid w:val="00441A8F"/>
    <w:rsid w:val="00441B8A"/>
    <w:rsid w:val="0044501D"/>
    <w:rsid w:val="004450AB"/>
    <w:rsid w:val="00451A7E"/>
    <w:rsid w:val="004547E0"/>
    <w:rsid w:val="00461F43"/>
    <w:rsid w:val="0046480C"/>
    <w:rsid w:val="004770BA"/>
    <w:rsid w:val="0048050F"/>
    <w:rsid w:val="00485AB3"/>
    <w:rsid w:val="0049020D"/>
    <w:rsid w:val="004943B6"/>
    <w:rsid w:val="00494F67"/>
    <w:rsid w:val="00495DCD"/>
    <w:rsid w:val="004A0CC0"/>
    <w:rsid w:val="004A2295"/>
    <w:rsid w:val="004A6D81"/>
    <w:rsid w:val="004A7E24"/>
    <w:rsid w:val="004B7966"/>
    <w:rsid w:val="004B7B8C"/>
    <w:rsid w:val="004D4066"/>
    <w:rsid w:val="004D62AF"/>
    <w:rsid w:val="004E42DA"/>
    <w:rsid w:val="004E45D5"/>
    <w:rsid w:val="004E531D"/>
    <w:rsid w:val="004E5AFA"/>
    <w:rsid w:val="004F10CE"/>
    <w:rsid w:val="004F4490"/>
    <w:rsid w:val="004F4EF5"/>
    <w:rsid w:val="004F6A63"/>
    <w:rsid w:val="00504A7B"/>
    <w:rsid w:val="0050538B"/>
    <w:rsid w:val="005119FA"/>
    <w:rsid w:val="00513F60"/>
    <w:rsid w:val="005165DC"/>
    <w:rsid w:val="00532EC9"/>
    <w:rsid w:val="0053409C"/>
    <w:rsid w:val="0053513E"/>
    <w:rsid w:val="005354BE"/>
    <w:rsid w:val="00535FC3"/>
    <w:rsid w:val="00536728"/>
    <w:rsid w:val="0056323B"/>
    <w:rsid w:val="00573771"/>
    <w:rsid w:val="005811F3"/>
    <w:rsid w:val="00582DEA"/>
    <w:rsid w:val="0058589E"/>
    <w:rsid w:val="0059142D"/>
    <w:rsid w:val="005915E3"/>
    <w:rsid w:val="00597C60"/>
    <w:rsid w:val="005A0ED2"/>
    <w:rsid w:val="005A3C89"/>
    <w:rsid w:val="005A42A5"/>
    <w:rsid w:val="005B07C8"/>
    <w:rsid w:val="005B1473"/>
    <w:rsid w:val="005B4A6F"/>
    <w:rsid w:val="005B7CA6"/>
    <w:rsid w:val="005C1F9E"/>
    <w:rsid w:val="005E5E7B"/>
    <w:rsid w:val="005F020B"/>
    <w:rsid w:val="005F3B9E"/>
    <w:rsid w:val="005F3DB9"/>
    <w:rsid w:val="005F5D65"/>
    <w:rsid w:val="005F76FB"/>
    <w:rsid w:val="00604181"/>
    <w:rsid w:val="00604E2D"/>
    <w:rsid w:val="0060567D"/>
    <w:rsid w:val="00611A58"/>
    <w:rsid w:val="00614AA4"/>
    <w:rsid w:val="00616FC1"/>
    <w:rsid w:val="00620469"/>
    <w:rsid w:val="006206EA"/>
    <w:rsid w:val="0063154F"/>
    <w:rsid w:val="00633B19"/>
    <w:rsid w:val="00633EF1"/>
    <w:rsid w:val="00636FC5"/>
    <w:rsid w:val="006400BA"/>
    <w:rsid w:val="00641B9A"/>
    <w:rsid w:val="006423BB"/>
    <w:rsid w:val="00642628"/>
    <w:rsid w:val="006467CA"/>
    <w:rsid w:val="006500A2"/>
    <w:rsid w:val="0066172F"/>
    <w:rsid w:val="00662AD1"/>
    <w:rsid w:val="00663745"/>
    <w:rsid w:val="00670B31"/>
    <w:rsid w:val="006756E6"/>
    <w:rsid w:val="0068404D"/>
    <w:rsid w:val="00691427"/>
    <w:rsid w:val="006915F6"/>
    <w:rsid w:val="006918FB"/>
    <w:rsid w:val="00693173"/>
    <w:rsid w:val="0069777F"/>
    <w:rsid w:val="006A4784"/>
    <w:rsid w:val="006A5225"/>
    <w:rsid w:val="006A7107"/>
    <w:rsid w:val="006B3E2E"/>
    <w:rsid w:val="006C472E"/>
    <w:rsid w:val="006C7054"/>
    <w:rsid w:val="006D0FBE"/>
    <w:rsid w:val="006D1116"/>
    <w:rsid w:val="006E02DD"/>
    <w:rsid w:val="006E1129"/>
    <w:rsid w:val="00702811"/>
    <w:rsid w:val="00706BC0"/>
    <w:rsid w:val="007138B0"/>
    <w:rsid w:val="00713D54"/>
    <w:rsid w:val="00715399"/>
    <w:rsid w:val="00720C80"/>
    <w:rsid w:val="007230A0"/>
    <w:rsid w:val="0072360B"/>
    <w:rsid w:val="0072435E"/>
    <w:rsid w:val="007249D5"/>
    <w:rsid w:val="00730F68"/>
    <w:rsid w:val="00734037"/>
    <w:rsid w:val="0074190C"/>
    <w:rsid w:val="00755C73"/>
    <w:rsid w:val="00757A64"/>
    <w:rsid w:val="00760C71"/>
    <w:rsid w:val="00763867"/>
    <w:rsid w:val="00767B97"/>
    <w:rsid w:val="0077176C"/>
    <w:rsid w:val="00772C34"/>
    <w:rsid w:val="00773A15"/>
    <w:rsid w:val="007743EC"/>
    <w:rsid w:val="00776852"/>
    <w:rsid w:val="00776D66"/>
    <w:rsid w:val="00777B27"/>
    <w:rsid w:val="00791BB3"/>
    <w:rsid w:val="0079399E"/>
    <w:rsid w:val="00795AB4"/>
    <w:rsid w:val="007975E1"/>
    <w:rsid w:val="007A65A0"/>
    <w:rsid w:val="007B0D2E"/>
    <w:rsid w:val="007B2777"/>
    <w:rsid w:val="007B2968"/>
    <w:rsid w:val="007C39F2"/>
    <w:rsid w:val="007C3AD6"/>
    <w:rsid w:val="007C3D18"/>
    <w:rsid w:val="007D08C1"/>
    <w:rsid w:val="007D31A8"/>
    <w:rsid w:val="007E6D31"/>
    <w:rsid w:val="00800843"/>
    <w:rsid w:val="008024F2"/>
    <w:rsid w:val="00807629"/>
    <w:rsid w:val="008125DA"/>
    <w:rsid w:val="00817229"/>
    <w:rsid w:val="00820DFB"/>
    <w:rsid w:val="00821F58"/>
    <w:rsid w:val="008263E7"/>
    <w:rsid w:val="008306CD"/>
    <w:rsid w:val="00840427"/>
    <w:rsid w:val="008449F5"/>
    <w:rsid w:val="0084546C"/>
    <w:rsid w:val="008471EC"/>
    <w:rsid w:val="008519FE"/>
    <w:rsid w:val="00856ECE"/>
    <w:rsid w:val="00862581"/>
    <w:rsid w:val="00863825"/>
    <w:rsid w:val="008729C9"/>
    <w:rsid w:val="00874B45"/>
    <w:rsid w:val="00880EC6"/>
    <w:rsid w:val="00884A91"/>
    <w:rsid w:val="008935DA"/>
    <w:rsid w:val="008A1B81"/>
    <w:rsid w:val="008A36A4"/>
    <w:rsid w:val="008A699E"/>
    <w:rsid w:val="008A6D37"/>
    <w:rsid w:val="008B7F7F"/>
    <w:rsid w:val="008C1D81"/>
    <w:rsid w:val="008C4583"/>
    <w:rsid w:val="008E256F"/>
    <w:rsid w:val="008E454E"/>
    <w:rsid w:val="008F1AAD"/>
    <w:rsid w:val="008F5288"/>
    <w:rsid w:val="0091113A"/>
    <w:rsid w:val="00915F25"/>
    <w:rsid w:val="009166F0"/>
    <w:rsid w:val="00916E3B"/>
    <w:rsid w:val="00920385"/>
    <w:rsid w:val="009211BD"/>
    <w:rsid w:val="0092160B"/>
    <w:rsid w:val="0092627B"/>
    <w:rsid w:val="00934199"/>
    <w:rsid w:val="009358E1"/>
    <w:rsid w:val="00936A6B"/>
    <w:rsid w:val="00953792"/>
    <w:rsid w:val="009705E2"/>
    <w:rsid w:val="00975940"/>
    <w:rsid w:val="0098254B"/>
    <w:rsid w:val="00983D55"/>
    <w:rsid w:val="0098417D"/>
    <w:rsid w:val="009875C5"/>
    <w:rsid w:val="00991DF6"/>
    <w:rsid w:val="0099572B"/>
    <w:rsid w:val="00996196"/>
    <w:rsid w:val="0099787D"/>
    <w:rsid w:val="009A2FA1"/>
    <w:rsid w:val="009B4E35"/>
    <w:rsid w:val="009C3329"/>
    <w:rsid w:val="009C558A"/>
    <w:rsid w:val="009C596B"/>
    <w:rsid w:val="009C5E73"/>
    <w:rsid w:val="009D5C90"/>
    <w:rsid w:val="009F1169"/>
    <w:rsid w:val="009F39E8"/>
    <w:rsid w:val="009F75FD"/>
    <w:rsid w:val="00A2176F"/>
    <w:rsid w:val="00A25526"/>
    <w:rsid w:val="00A30ABC"/>
    <w:rsid w:val="00A31F81"/>
    <w:rsid w:val="00A37819"/>
    <w:rsid w:val="00A4435A"/>
    <w:rsid w:val="00A4451F"/>
    <w:rsid w:val="00A46A80"/>
    <w:rsid w:val="00A52D3C"/>
    <w:rsid w:val="00A53139"/>
    <w:rsid w:val="00A53AA5"/>
    <w:rsid w:val="00A62ED4"/>
    <w:rsid w:val="00A6637E"/>
    <w:rsid w:val="00A73148"/>
    <w:rsid w:val="00A74F2B"/>
    <w:rsid w:val="00A8184F"/>
    <w:rsid w:val="00A90B3A"/>
    <w:rsid w:val="00A935E8"/>
    <w:rsid w:val="00A9450A"/>
    <w:rsid w:val="00A9569D"/>
    <w:rsid w:val="00AA538B"/>
    <w:rsid w:val="00AA685C"/>
    <w:rsid w:val="00AB297F"/>
    <w:rsid w:val="00AB4A9B"/>
    <w:rsid w:val="00AC0AF2"/>
    <w:rsid w:val="00AC2568"/>
    <w:rsid w:val="00AC7446"/>
    <w:rsid w:val="00AD10B8"/>
    <w:rsid w:val="00AD6B94"/>
    <w:rsid w:val="00AF0D1C"/>
    <w:rsid w:val="00AF58B6"/>
    <w:rsid w:val="00B01F81"/>
    <w:rsid w:val="00B03A6D"/>
    <w:rsid w:val="00B04CAD"/>
    <w:rsid w:val="00B04FD0"/>
    <w:rsid w:val="00B071E5"/>
    <w:rsid w:val="00B104BD"/>
    <w:rsid w:val="00B1146C"/>
    <w:rsid w:val="00B130AF"/>
    <w:rsid w:val="00B22B39"/>
    <w:rsid w:val="00B24ED8"/>
    <w:rsid w:val="00B271DE"/>
    <w:rsid w:val="00B27F8A"/>
    <w:rsid w:val="00B3317B"/>
    <w:rsid w:val="00B36550"/>
    <w:rsid w:val="00B43960"/>
    <w:rsid w:val="00B503CA"/>
    <w:rsid w:val="00B56043"/>
    <w:rsid w:val="00B67E1C"/>
    <w:rsid w:val="00B767B8"/>
    <w:rsid w:val="00B77A1D"/>
    <w:rsid w:val="00B80ADA"/>
    <w:rsid w:val="00B8370A"/>
    <w:rsid w:val="00B85CE2"/>
    <w:rsid w:val="00B877F0"/>
    <w:rsid w:val="00B93351"/>
    <w:rsid w:val="00B95E63"/>
    <w:rsid w:val="00B96E91"/>
    <w:rsid w:val="00BA2CDB"/>
    <w:rsid w:val="00BA3C87"/>
    <w:rsid w:val="00BA595B"/>
    <w:rsid w:val="00BA7A98"/>
    <w:rsid w:val="00BB1509"/>
    <w:rsid w:val="00BB6BC4"/>
    <w:rsid w:val="00BC5FAC"/>
    <w:rsid w:val="00BD5606"/>
    <w:rsid w:val="00BE2554"/>
    <w:rsid w:val="00BE3B52"/>
    <w:rsid w:val="00BE465C"/>
    <w:rsid w:val="00C0419D"/>
    <w:rsid w:val="00C05123"/>
    <w:rsid w:val="00C06C73"/>
    <w:rsid w:val="00C15323"/>
    <w:rsid w:val="00C3286F"/>
    <w:rsid w:val="00C3299F"/>
    <w:rsid w:val="00C33013"/>
    <w:rsid w:val="00C43949"/>
    <w:rsid w:val="00C459D1"/>
    <w:rsid w:val="00C505BD"/>
    <w:rsid w:val="00C561D9"/>
    <w:rsid w:val="00C665D4"/>
    <w:rsid w:val="00C7245E"/>
    <w:rsid w:val="00C76C16"/>
    <w:rsid w:val="00C77D84"/>
    <w:rsid w:val="00C815C4"/>
    <w:rsid w:val="00C84B6C"/>
    <w:rsid w:val="00C93AC5"/>
    <w:rsid w:val="00CA0F6E"/>
    <w:rsid w:val="00CA1614"/>
    <w:rsid w:val="00CA54AC"/>
    <w:rsid w:val="00CA746E"/>
    <w:rsid w:val="00CA7B78"/>
    <w:rsid w:val="00CB117C"/>
    <w:rsid w:val="00CC297A"/>
    <w:rsid w:val="00CC3B0C"/>
    <w:rsid w:val="00CD687E"/>
    <w:rsid w:val="00CD6BB6"/>
    <w:rsid w:val="00CE3B64"/>
    <w:rsid w:val="00CE7C77"/>
    <w:rsid w:val="00CF763D"/>
    <w:rsid w:val="00D002E5"/>
    <w:rsid w:val="00D020CC"/>
    <w:rsid w:val="00D042CB"/>
    <w:rsid w:val="00D10633"/>
    <w:rsid w:val="00D10DC3"/>
    <w:rsid w:val="00D211A9"/>
    <w:rsid w:val="00D259BF"/>
    <w:rsid w:val="00D26281"/>
    <w:rsid w:val="00D27F7C"/>
    <w:rsid w:val="00D46020"/>
    <w:rsid w:val="00D56B74"/>
    <w:rsid w:val="00D57A84"/>
    <w:rsid w:val="00D665A9"/>
    <w:rsid w:val="00D72C03"/>
    <w:rsid w:val="00D81CD3"/>
    <w:rsid w:val="00D9062C"/>
    <w:rsid w:val="00D91C3A"/>
    <w:rsid w:val="00D93605"/>
    <w:rsid w:val="00D9617E"/>
    <w:rsid w:val="00DB07A4"/>
    <w:rsid w:val="00DB0DAB"/>
    <w:rsid w:val="00DB2837"/>
    <w:rsid w:val="00DB2D8F"/>
    <w:rsid w:val="00DB4B2E"/>
    <w:rsid w:val="00DB6514"/>
    <w:rsid w:val="00DB6A89"/>
    <w:rsid w:val="00DC266B"/>
    <w:rsid w:val="00DC4130"/>
    <w:rsid w:val="00DD18A1"/>
    <w:rsid w:val="00DD4471"/>
    <w:rsid w:val="00DE552D"/>
    <w:rsid w:val="00DE5BA8"/>
    <w:rsid w:val="00DE7291"/>
    <w:rsid w:val="00DE73B5"/>
    <w:rsid w:val="00DE7809"/>
    <w:rsid w:val="00DF4B68"/>
    <w:rsid w:val="00E05868"/>
    <w:rsid w:val="00E07594"/>
    <w:rsid w:val="00E11D5F"/>
    <w:rsid w:val="00E15C5B"/>
    <w:rsid w:val="00E23F76"/>
    <w:rsid w:val="00E275CE"/>
    <w:rsid w:val="00E41C96"/>
    <w:rsid w:val="00E42650"/>
    <w:rsid w:val="00E4682B"/>
    <w:rsid w:val="00E47699"/>
    <w:rsid w:val="00E628B1"/>
    <w:rsid w:val="00E71D53"/>
    <w:rsid w:val="00E722BD"/>
    <w:rsid w:val="00E830F6"/>
    <w:rsid w:val="00E87347"/>
    <w:rsid w:val="00E945B0"/>
    <w:rsid w:val="00E94AFD"/>
    <w:rsid w:val="00E957AE"/>
    <w:rsid w:val="00EA6262"/>
    <w:rsid w:val="00EB4480"/>
    <w:rsid w:val="00EB6465"/>
    <w:rsid w:val="00ED6677"/>
    <w:rsid w:val="00EE6530"/>
    <w:rsid w:val="00F00E80"/>
    <w:rsid w:val="00F0713A"/>
    <w:rsid w:val="00F11018"/>
    <w:rsid w:val="00F15AF4"/>
    <w:rsid w:val="00F16E22"/>
    <w:rsid w:val="00F17C71"/>
    <w:rsid w:val="00F27339"/>
    <w:rsid w:val="00F37D20"/>
    <w:rsid w:val="00F42342"/>
    <w:rsid w:val="00F44A09"/>
    <w:rsid w:val="00F52378"/>
    <w:rsid w:val="00F54888"/>
    <w:rsid w:val="00F57262"/>
    <w:rsid w:val="00F61A51"/>
    <w:rsid w:val="00F6407D"/>
    <w:rsid w:val="00F64FBB"/>
    <w:rsid w:val="00F67F81"/>
    <w:rsid w:val="00F703AD"/>
    <w:rsid w:val="00F70EA3"/>
    <w:rsid w:val="00F73553"/>
    <w:rsid w:val="00F778B9"/>
    <w:rsid w:val="00F77E65"/>
    <w:rsid w:val="00F8226F"/>
    <w:rsid w:val="00F83543"/>
    <w:rsid w:val="00F84C53"/>
    <w:rsid w:val="00F907D1"/>
    <w:rsid w:val="00F926B8"/>
    <w:rsid w:val="00F9426F"/>
    <w:rsid w:val="00F95F55"/>
    <w:rsid w:val="00F968DC"/>
    <w:rsid w:val="00FA2E27"/>
    <w:rsid w:val="00FA4128"/>
    <w:rsid w:val="00FA6158"/>
    <w:rsid w:val="00FA63F4"/>
    <w:rsid w:val="00FB15E3"/>
    <w:rsid w:val="00FB79BD"/>
    <w:rsid w:val="00FC754C"/>
    <w:rsid w:val="00FD0304"/>
    <w:rsid w:val="00FD3CE4"/>
    <w:rsid w:val="00FD684B"/>
    <w:rsid w:val="0C9B273A"/>
    <w:rsid w:val="215A54C1"/>
    <w:rsid w:val="230949CD"/>
    <w:rsid w:val="25204677"/>
    <w:rsid w:val="26DD04FA"/>
    <w:rsid w:val="28E65909"/>
    <w:rsid w:val="33070B6A"/>
    <w:rsid w:val="332B796F"/>
    <w:rsid w:val="37C92AA6"/>
    <w:rsid w:val="3BA50630"/>
    <w:rsid w:val="3D25D500"/>
    <w:rsid w:val="3EEF98DD"/>
    <w:rsid w:val="3F9FD22F"/>
    <w:rsid w:val="470749E1"/>
    <w:rsid w:val="471B4BFB"/>
    <w:rsid w:val="48DF3161"/>
    <w:rsid w:val="49DE1596"/>
    <w:rsid w:val="4F7B247E"/>
    <w:rsid w:val="50744D49"/>
    <w:rsid w:val="57D94567"/>
    <w:rsid w:val="59D2491E"/>
    <w:rsid w:val="5CFF1606"/>
    <w:rsid w:val="5DFFCE9C"/>
    <w:rsid w:val="5FB81DCD"/>
    <w:rsid w:val="62043972"/>
    <w:rsid w:val="63BD8BA4"/>
    <w:rsid w:val="6BFEE3C0"/>
    <w:rsid w:val="6BFF0146"/>
    <w:rsid w:val="6DDA2238"/>
    <w:rsid w:val="6EFD90F7"/>
    <w:rsid w:val="707E5BBB"/>
    <w:rsid w:val="72DE18B7"/>
    <w:rsid w:val="7329008F"/>
    <w:rsid w:val="7628225B"/>
    <w:rsid w:val="773428A2"/>
    <w:rsid w:val="77C6AB6B"/>
    <w:rsid w:val="77FF4F98"/>
    <w:rsid w:val="79FF0142"/>
    <w:rsid w:val="7B1461A5"/>
    <w:rsid w:val="7BFB120F"/>
    <w:rsid w:val="7C594E55"/>
    <w:rsid w:val="7F7F1836"/>
    <w:rsid w:val="7FDE9EE2"/>
    <w:rsid w:val="93EEA786"/>
    <w:rsid w:val="9CFB7DEA"/>
    <w:rsid w:val="9DDD5BD2"/>
    <w:rsid w:val="ADAF1DB9"/>
    <w:rsid w:val="B5FF0B5B"/>
    <w:rsid w:val="B76B45F2"/>
    <w:rsid w:val="D5FE192F"/>
    <w:rsid w:val="DDDB2668"/>
    <w:rsid w:val="DFFB0938"/>
    <w:rsid w:val="EB7DFDD5"/>
    <w:rsid w:val="EC3D1978"/>
    <w:rsid w:val="FEFFD74D"/>
    <w:rsid w:val="FFFF8C4C"/>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nhideWhenUsed="0" w:uiPriority="99"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1"/>
    <w:basedOn w:val="1"/>
    <w:next w:val="1"/>
    <w:link w:val="18"/>
    <w:qFormat/>
    <w:uiPriority w:val="99"/>
    <w:pPr>
      <w:keepNext/>
      <w:keepLines/>
      <w:tabs>
        <w:tab w:val="left" w:pos="0"/>
      </w:tabs>
      <w:suppressAutoHyphens/>
      <w:spacing w:before="340" w:after="330" w:line="480" w:lineRule="auto"/>
      <w:ind w:left="432" w:hanging="432"/>
      <w:outlineLvl w:val="0"/>
    </w:pPr>
    <w:rPr>
      <w:b/>
      <w:bCs/>
      <w:kern w:val="1"/>
      <w:sz w:val="44"/>
      <w:szCs w:val="44"/>
      <w:lang w:eastAsia="ar-SA"/>
    </w:rPr>
  </w:style>
  <w:style w:type="paragraph" w:styleId="6">
    <w:name w:val="heading 3"/>
    <w:basedOn w:val="1"/>
    <w:next w:val="1"/>
    <w:link w:val="19"/>
    <w:qFormat/>
    <w:uiPriority w:val="99"/>
    <w:pPr>
      <w:keepNext/>
      <w:keepLines/>
      <w:tabs>
        <w:tab w:val="left" w:pos="0"/>
      </w:tabs>
      <w:suppressAutoHyphens/>
      <w:spacing w:before="260" w:after="260" w:line="412" w:lineRule="auto"/>
      <w:ind w:left="720" w:hanging="720"/>
      <w:outlineLvl w:val="2"/>
    </w:pPr>
    <w:rPr>
      <w:b/>
      <w:bCs/>
      <w:kern w:val="21"/>
      <w:sz w:val="32"/>
      <w:szCs w:val="32"/>
      <w:lang w:eastAsia="ar-SA"/>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customStyle="1" w:styleId="2">
    <w:name w:val="正文首行缩进 21"/>
    <w:basedOn w:val="3"/>
    <w:next w:val="4"/>
    <w:qFormat/>
    <w:uiPriority w:val="0"/>
    <w:pPr>
      <w:ind w:left="200" w:leftChars="200"/>
    </w:pPr>
    <w:rPr>
      <w:rFonts w:eastAsia="仿宋_GB2312"/>
      <w:sz w:val="32"/>
      <w:szCs w:val="32"/>
    </w:rPr>
  </w:style>
  <w:style w:type="paragraph" w:customStyle="1" w:styleId="3">
    <w:name w:val="正文文本缩进1"/>
    <w:basedOn w:val="1"/>
    <w:qFormat/>
    <w:uiPriority w:val="0"/>
    <w:pPr>
      <w:ind w:left="200" w:leftChars="200"/>
    </w:pPr>
    <w:rPr>
      <w:rFonts w:ascii="Calibri" w:hAnsi="Calibri" w:eastAsia="宋体" w:cs="Times New Roman"/>
    </w:rPr>
  </w:style>
  <w:style w:type="paragraph" w:styleId="4">
    <w:name w:val="Normal (Web)"/>
    <w:basedOn w:val="1"/>
    <w:next w:val="1"/>
    <w:qFormat/>
    <w:uiPriority w:val="0"/>
    <w:pPr>
      <w:spacing w:before="100" w:beforeAutospacing="1" w:after="100" w:afterAutospacing="1"/>
      <w:ind w:left="0" w:right="0"/>
      <w:jc w:val="left"/>
    </w:pPr>
    <w:rPr>
      <w:kern w:val="0"/>
      <w:sz w:val="24"/>
      <w:lang w:val="en-US" w:eastAsia="zh-CN" w:bidi="ar"/>
    </w:rPr>
  </w:style>
  <w:style w:type="paragraph" w:styleId="7">
    <w:name w:val="caption"/>
    <w:basedOn w:val="1"/>
    <w:next w:val="1"/>
    <w:qFormat/>
    <w:uiPriority w:val="99"/>
    <w:pPr>
      <w:suppressLineNumbers/>
      <w:suppressAutoHyphens/>
      <w:spacing w:before="120" w:after="120"/>
    </w:pPr>
    <w:rPr>
      <w:rFonts w:cs="Mangal"/>
      <w:i/>
      <w:iCs/>
      <w:kern w:val="21"/>
      <w:sz w:val="24"/>
      <w:lang w:eastAsia="ar-SA"/>
    </w:rPr>
  </w:style>
  <w:style w:type="paragraph" w:styleId="8">
    <w:name w:val="Body Text"/>
    <w:basedOn w:val="1"/>
    <w:link w:val="29"/>
    <w:qFormat/>
    <w:uiPriority w:val="0"/>
    <w:pPr>
      <w:spacing w:after="120"/>
    </w:pPr>
  </w:style>
  <w:style w:type="paragraph" w:styleId="9">
    <w:name w:val="Date"/>
    <w:basedOn w:val="1"/>
    <w:next w:val="1"/>
    <w:link w:val="28"/>
    <w:semiHidden/>
    <w:unhideWhenUsed/>
    <w:qFormat/>
    <w:uiPriority w:val="99"/>
    <w:pPr>
      <w:ind w:left="100" w:leftChars="2500"/>
    </w:pPr>
  </w:style>
  <w:style w:type="paragraph" w:styleId="10">
    <w:name w:val="Balloon Text"/>
    <w:basedOn w:val="1"/>
    <w:link w:val="25"/>
    <w:semiHidden/>
    <w:unhideWhenUsed/>
    <w:qFormat/>
    <w:uiPriority w:val="99"/>
    <w:rPr>
      <w:sz w:val="18"/>
      <w:szCs w:val="18"/>
    </w:rPr>
  </w:style>
  <w:style w:type="paragraph" w:styleId="11">
    <w:name w:val="footer"/>
    <w:basedOn w:val="1"/>
    <w:link w:val="24"/>
    <w:unhideWhenUsed/>
    <w:qFormat/>
    <w:uiPriority w:val="99"/>
    <w:pPr>
      <w:tabs>
        <w:tab w:val="center" w:pos="4153"/>
        <w:tab w:val="right" w:pos="8306"/>
      </w:tabs>
      <w:snapToGrid w:val="0"/>
      <w:jc w:val="left"/>
    </w:pPr>
    <w:rPr>
      <w:sz w:val="18"/>
      <w:szCs w:val="18"/>
    </w:rPr>
  </w:style>
  <w:style w:type="paragraph" w:styleId="12">
    <w:name w:val="header"/>
    <w:basedOn w:val="1"/>
    <w:link w:val="23"/>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table" w:styleId="15">
    <w:name w:val="Table Grid"/>
    <w:basedOn w:val="1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Strong"/>
    <w:qFormat/>
    <w:uiPriority w:val="99"/>
    <w:rPr>
      <w:rFonts w:cs="Times New Roman"/>
      <w:b/>
    </w:rPr>
  </w:style>
  <w:style w:type="character" w:customStyle="1" w:styleId="18">
    <w:name w:val="标题 1 Char"/>
    <w:link w:val="5"/>
    <w:qFormat/>
    <w:locked/>
    <w:uiPriority w:val="99"/>
    <w:rPr>
      <w:rFonts w:cs="Times New Roman"/>
      <w:b/>
      <w:kern w:val="1"/>
      <w:sz w:val="44"/>
      <w:lang w:eastAsia="ar-SA" w:bidi="ar-SA"/>
    </w:rPr>
  </w:style>
  <w:style w:type="character" w:customStyle="1" w:styleId="19">
    <w:name w:val="标题 3 Char"/>
    <w:link w:val="6"/>
    <w:qFormat/>
    <w:locked/>
    <w:uiPriority w:val="99"/>
    <w:rPr>
      <w:rFonts w:cs="Times New Roman"/>
      <w:b/>
      <w:kern w:val="21"/>
      <w:sz w:val="32"/>
      <w:lang w:eastAsia="ar-SA" w:bidi="ar-SA"/>
    </w:rPr>
  </w:style>
  <w:style w:type="paragraph" w:styleId="20">
    <w:name w:val="List Paragraph"/>
    <w:basedOn w:val="1"/>
    <w:qFormat/>
    <w:uiPriority w:val="99"/>
    <w:pPr>
      <w:suppressAutoHyphens/>
      <w:ind w:firstLine="420" w:firstLineChars="200"/>
    </w:pPr>
    <w:rPr>
      <w:kern w:val="21"/>
      <w:lang w:eastAsia="ar-SA"/>
    </w:rPr>
  </w:style>
  <w:style w:type="paragraph" w:customStyle="1" w:styleId="21">
    <w:name w:val="段"/>
    <w:link w:val="22"/>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2">
    <w:name w:val="段 Char"/>
    <w:link w:val="21"/>
    <w:qFormat/>
    <w:locked/>
    <w:uiPriority w:val="0"/>
    <w:rPr>
      <w:rFonts w:ascii="宋体" w:cs="Times New Roman"/>
      <w:sz w:val="21"/>
      <w:lang w:val="en-US" w:eastAsia="zh-CN" w:bidi="ar-SA"/>
    </w:rPr>
  </w:style>
  <w:style w:type="character" w:customStyle="1" w:styleId="23">
    <w:name w:val="页眉 Char"/>
    <w:link w:val="12"/>
    <w:qFormat/>
    <w:uiPriority w:val="99"/>
    <w:rPr>
      <w:sz w:val="18"/>
      <w:szCs w:val="18"/>
    </w:rPr>
  </w:style>
  <w:style w:type="character" w:customStyle="1" w:styleId="24">
    <w:name w:val="页脚 Char"/>
    <w:link w:val="11"/>
    <w:qFormat/>
    <w:uiPriority w:val="99"/>
    <w:rPr>
      <w:sz w:val="18"/>
      <w:szCs w:val="18"/>
    </w:rPr>
  </w:style>
  <w:style w:type="character" w:customStyle="1" w:styleId="25">
    <w:name w:val="批注框文本 Char"/>
    <w:link w:val="10"/>
    <w:semiHidden/>
    <w:qFormat/>
    <w:uiPriority w:val="99"/>
    <w:rPr>
      <w:kern w:val="2"/>
      <w:sz w:val="18"/>
      <w:szCs w:val="18"/>
    </w:rPr>
  </w:style>
  <w:style w:type="table" w:customStyle="1" w:styleId="26">
    <w:name w:val="浅色底纹1"/>
    <w:basedOn w:val="14"/>
    <w:qFormat/>
    <w:uiPriority w:val="60"/>
    <w:rPr>
      <w:color w:val="000000"/>
    </w:rPr>
    <w:tblPr>
      <w:tblBorders>
        <w:top w:val="single" w:color="000000" w:sz="8" w:space="0"/>
        <w:bottom w:val="single" w:color="000000"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C0C0C0"/>
      </w:tcPr>
    </w:tblStylePr>
    <w:tblStylePr w:type="band1Horz">
      <w:tcPr>
        <w:tcBorders>
          <w:left w:val="nil"/>
          <w:right w:val="nil"/>
          <w:insideH w:val="nil"/>
          <w:insideV w:val="nil"/>
        </w:tcBorders>
        <w:shd w:val="clear" w:color="auto" w:fill="C0C0C0"/>
      </w:tcPr>
    </w:tblStylePr>
  </w:style>
  <w:style w:type="table" w:customStyle="1" w:styleId="27">
    <w:name w:val="浅色底纹2"/>
    <w:basedOn w:val="14"/>
    <w:qFormat/>
    <w:uiPriority w:val="60"/>
    <w:rPr>
      <w:color w:val="000000"/>
    </w:rPr>
    <w:tblPr>
      <w:tblBorders>
        <w:top w:val="single" w:color="000000" w:sz="8" w:space="0"/>
        <w:bottom w:val="single" w:color="000000"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C0C0C0"/>
      </w:tcPr>
    </w:tblStylePr>
    <w:tblStylePr w:type="band1Horz">
      <w:tcPr>
        <w:tcBorders>
          <w:left w:val="nil"/>
          <w:right w:val="nil"/>
          <w:insideH w:val="nil"/>
          <w:insideV w:val="nil"/>
        </w:tcBorders>
        <w:shd w:val="clear" w:color="auto" w:fill="C0C0C0"/>
      </w:tcPr>
    </w:tblStylePr>
  </w:style>
  <w:style w:type="character" w:customStyle="1" w:styleId="28">
    <w:name w:val="日期 Char"/>
    <w:basedOn w:val="16"/>
    <w:link w:val="9"/>
    <w:semiHidden/>
    <w:qFormat/>
    <w:uiPriority w:val="99"/>
    <w:rPr>
      <w:kern w:val="2"/>
      <w:sz w:val="21"/>
      <w:szCs w:val="24"/>
    </w:rPr>
  </w:style>
  <w:style w:type="character" w:customStyle="1" w:styleId="29">
    <w:name w:val="正文文本 Char"/>
    <w:basedOn w:val="16"/>
    <w:link w:val="8"/>
    <w:qFormat/>
    <w:uiPriority w:val="0"/>
    <w:rPr>
      <w:kern w:val="2"/>
      <w:sz w:val="21"/>
      <w:szCs w:val="24"/>
    </w:rPr>
  </w:style>
  <w:style w:type="paragraph" w:customStyle="1" w:styleId="30">
    <w:name w:val="标准文件_段"/>
    <w:link w:val="31"/>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31">
    <w:name w:val="标准文件_段 Char"/>
    <w:link w:val="30"/>
    <w:qFormat/>
    <w:uiPriority w:val="0"/>
    <w:rPr>
      <w:rFonts w:ascii="宋体"/>
      <w:sz w:val="21"/>
    </w:rPr>
  </w:style>
  <w:style w:type="paragraph" w:customStyle="1" w:styleId="32">
    <w:name w:val="一级条标题"/>
    <w:next w:val="21"/>
    <w:qFormat/>
    <w:uiPriority w:val="0"/>
    <w:pPr>
      <w:numPr>
        <w:ilvl w:val="1"/>
        <w:numId w:val="1"/>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33">
    <w:name w:val="二级条标题"/>
    <w:basedOn w:val="32"/>
    <w:next w:val="21"/>
    <w:qFormat/>
    <w:uiPriority w:val="0"/>
    <w:pPr>
      <w:numPr>
        <w:ilvl w:val="2"/>
        <w:numId w:val="1"/>
      </w:numPr>
      <w:spacing w:before="50" w:after="50"/>
      <w:outlineLvl w:val="3"/>
    </w:pPr>
  </w:style>
  <w:style w:type="paragraph" w:customStyle="1" w:styleId="34">
    <w:name w:val="附录表标题"/>
    <w:basedOn w:val="1"/>
    <w:next w:val="21"/>
    <w:qFormat/>
    <w:uiPriority w:val="0"/>
    <w:pPr>
      <w:numPr>
        <w:ilvl w:val="1"/>
        <w:numId w:val="2"/>
      </w:numPr>
      <w:tabs>
        <w:tab w:val="left" w:pos="180"/>
      </w:tabs>
      <w:spacing w:before="50" w:beforeLines="50" w:after="50" w:afterLines="50"/>
      <w:ind w:left="0" w:firstLine="0"/>
      <w:jc w:val="center"/>
    </w:pPr>
    <w:rPr>
      <w:rFonts w:ascii="黑体" w:eastAsia="黑体"/>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8</Pages>
  <Words>4871</Words>
  <Characters>5138</Characters>
  <Lines>49</Lines>
  <Paragraphs>13</Paragraphs>
  <TotalTime>1</TotalTime>
  <ScaleCrop>false</ScaleCrop>
  <LinksUpToDate>false</LinksUpToDate>
  <CharactersWithSpaces>5219</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2016-02-25T07:17:00Z</dcterms:created>
  <dc:creator>lenovo</dc:creator>
  <cp:lastModifiedBy>baixin</cp:lastModifiedBy>
  <cp:lastPrinted>2017-01-19T07:31:00Z</cp:lastPrinted>
  <dcterms:modified xsi:type="dcterms:W3CDTF">2024-08-07T11:25:07Z</dcterms:modified>
  <cp:revision>536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16DEC057891D4C0DB8764FBC7996C205_13</vt:lpwstr>
  </property>
</Properties>
</file>